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D8" w:rsidRPr="00AC78D1" w:rsidRDefault="00C310B5" w:rsidP="00472CD8">
      <w:pPr>
        <w:pStyle w:val="PaperNumber"/>
      </w:pPr>
      <w:r w:rsidRPr="007E5A41">
        <w:t>2013-24-0089</w:t>
      </w:r>
    </w:p>
    <w:p w:rsidR="00B01FCD" w:rsidRDefault="00D73EDC" w:rsidP="00A418D3">
      <w:pPr>
        <w:pStyle w:val="Title"/>
      </w:pPr>
      <w:r w:rsidRPr="00D73EDC">
        <w:t xml:space="preserve">An assessment of the bottoming cycle operating conditions for a high </w:t>
      </w:r>
      <w:proofErr w:type="spellStart"/>
      <w:r w:rsidRPr="00D73EDC">
        <w:t>EGR</w:t>
      </w:r>
      <w:proofErr w:type="spellEnd"/>
      <w:r w:rsidRPr="00D73EDC">
        <w:t xml:space="preserve"> rate engine at Euro VI </w:t>
      </w:r>
      <w:proofErr w:type="spellStart"/>
      <w:r w:rsidRPr="00D73EDC">
        <w:t>NOx</w:t>
      </w:r>
      <w:proofErr w:type="spellEnd"/>
      <w:r w:rsidRPr="00D73EDC">
        <w:t xml:space="preserve"> emissions</w:t>
      </w:r>
    </w:p>
    <w:p w:rsidR="001D77B2" w:rsidRDefault="001D77B2" w:rsidP="001D77B2">
      <w:pPr>
        <w:pStyle w:val="Author"/>
      </w:pPr>
      <w:r>
        <w:t xml:space="preserve"> </w:t>
      </w:r>
      <w:bookmarkStart w:id="0" w:name="_GoBack"/>
      <w:bookmarkEnd w:id="0"/>
    </w:p>
    <w:p w:rsidR="001D77B2" w:rsidRDefault="001D77B2" w:rsidP="00340C0B">
      <w:pPr>
        <w:pStyle w:val="Affiliation"/>
      </w:pPr>
      <w:r>
        <w:t xml:space="preserve"> </w:t>
      </w:r>
    </w:p>
    <w:p w:rsidR="006009F0" w:rsidRDefault="003D0F6E" w:rsidP="00C511C8">
      <w:pPr>
        <w:pStyle w:val="Copyright"/>
        <w:spacing w:after="840"/>
        <w:sectPr w:rsidR="006009F0" w:rsidSect="0051724E">
          <w:footerReference w:type="even" r:id="rId9"/>
          <w:footerReference w:type="default" r:id="rId10"/>
          <w:type w:val="continuous"/>
          <w:pgSz w:w="12240" w:h="15840"/>
          <w:pgMar w:top="720" w:right="720" w:bottom="720" w:left="720" w:header="720" w:footer="720" w:gutter="0"/>
          <w:cols w:space="720"/>
          <w:docGrid w:linePitch="360"/>
        </w:sectPr>
      </w:pPr>
      <w:r>
        <w:t>Copyright © 201</w:t>
      </w:r>
      <w:r w:rsidR="004A14DD">
        <w:t>2</w:t>
      </w:r>
      <w:r w:rsidR="00B01FCD">
        <w:t xml:space="preserve"> </w:t>
      </w:r>
      <w:proofErr w:type="spellStart"/>
      <w:r w:rsidR="00B01FCD">
        <w:t>SAE</w:t>
      </w:r>
      <w:proofErr w:type="spellEnd"/>
      <w:r w:rsidR="00B01FCD">
        <w:t xml:space="preserve"> International</w:t>
      </w:r>
    </w:p>
    <w:p w:rsidR="0051724E" w:rsidRPr="00C92A3D" w:rsidRDefault="0051724E" w:rsidP="0051724E">
      <w:pPr>
        <w:pStyle w:val="Head1"/>
      </w:pPr>
      <w:r w:rsidRPr="00C92A3D">
        <w:lastRenderedPageBreak/>
        <w:t>ABSTRACT</w:t>
      </w:r>
    </w:p>
    <w:p w:rsidR="0051724E" w:rsidRDefault="0051724E" w:rsidP="0051724E">
      <w:pPr>
        <w:jc w:val="both"/>
      </w:pPr>
      <w:r>
        <w:t>This paper investigates the application of a Bottoming Cycle (BC) applied to a 10-</w:t>
      </w:r>
      <w:proofErr w:type="spellStart"/>
      <w:r>
        <w:t>litre</w:t>
      </w:r>
      <w:proofErr w:type="spellEnd"/>
      <w:r>
        <w:t xml:space="preserve"> (L) heavy duty Diesel engine for potential improvements in fuel efficiency. With the main thermodynamic irreversibility in the BC due to the temperature difference between the heat source and the working fluid, a proper selection of the working fluid and its operating condition for a given waste heat is the key in achieving high overall conversion efficiency. The paper reviews a fluid selection methodology based on thermodynamic/thermo-physical and environmental/safety properties. Results are presented using seven pure, dry, isentropic and wet working fluids (synthetic, organic and inorganic) operating with expansion starting from the saturated </w:t>
      </w:r>
      <w:proofErr w:type="spellStart"/>
      <w:r>
        <w:t>vapour</w:t>
      </w:r>
      <w:proofErr w:type="spellEnd"/>
      <w:r>
        <w:t xml:space="preserve">, superheated </w:t>
      </w:r>
      <w:proofErr w:type="spellStart"/>
      <w:r>
        <w:t>vapour</w:t>
      </w:r>
      <w:proofErr w:type="spellEnd"/>
      <w:r>
        <w:t xml:space="preserve">, supercritical phase, saturated liquid, and two-phase. </w:t>
      </w:r>
    </w:p>
    <w:p w:rsidR="0051724E" w:rsidRPr="00A418D3" w:rsidRDefault="0051724E" w:rsidP="0051724E">
      <w:pPr>
        <w:jc w:val="both"/>
      </w:pPr>
      <w:r>
        <w:t>Efficiency improvements by recovering Charge Air Coolers (</w:t>
      </w:r>
      <w:proofErr w:type="spellStart"/>
      <w:r>
        <w:t>CAC</w:t>
      </w:r>
      <w:proofErr w:type="spellEnd"/>
      <w:r>
        <w:t>) and Exhaust Gas Recirculation (</w:t>
      </w:r>
      <w:proofErr w:type="spellStart"/>
      <w:r>
        <w:t>EGR</w:t>
      </w:r>
      <w:proofErr w:type="spellEnd"/>
      <w:r>
        <w:t xml:space="preserve">) cooler heat on two engine platforms were calculated. The first platform operating at Euro 6 engine out </w:t>
      </w:r>
      <w:proofErr w:type="spellStart"/>
      <w:r>
        <w:t>NOx</w:t>
      </w:r>
      <w:proofErr w:type="spellEnd"/>
      <w:r>
        <w:t xml:space="preserve"> emissions levels and the second platform operating with Euro 5 engine out </w:t>
      </w:r>
      <w:proofErr w:type="spellStart"/>
      <w:r>
        <w:t>NOx</w:t>
      </w:r>
      <w:proofErr w:type="spellEnd"/>
      <w:r>
        <w:t xml:space="preserve"> emissions coupled with a 80% efficient selective catalytic reduction system. Performance and heat rejection data for the </w:t>
      </w:r>
      <w:proofErr w:type="spellStart"/>
      <w:r>
        <w:t>10L</w:t>
      </w:r>
      <w:proofErr w:type="spellEnd"/>
      <w:r>
        <w:t xml:space="preserve"> platforms were derived from experimental measurements on an advanced </w:t>
      </w:r>
      <w:proofErr w:type="spellStart"/>
      <w:r>
        <w:t>2L</w:t>
      </w:r>
      <w:proofErr w:type="spellEnd"/>
      <w:r>
        <w:t xml:space="preserve"> single cylinder research engine which was used to determine the trade-off between thermal efficiency and regulated/unregulated emissions. Results indicate a potential improvement of 5.1% and 6.3% in engine power for a cruise (</w:t>
      </w:r>
      <w:proofErr w:type="spellStart"/>
      <w:r>
        <w:t>B50</w:t>
      </w:r>
      <w:proofErr w:type="spellEnd"/>
      <w:r>
        <w:t>) and high load (</w:t>
      </w:r>
      <w:proofErr w:type="spellStart"/>
      <w:r>
        <w:t>C100</w:t>
      </w:r>
      <w:proofErr w:type="spellEnd"/>
      <w:r>
        <w:t>) condition, with a technically feasible BC operating at subcritical mode with minimum superheat.</w:t>
      </w:r>
    </w:p>
    <w:p w:rsidR="0051724E" w:rsidRDefault="0051724E" w:rsidP="0051724E">
      <w:pPr>
        <w:pStyle w:val="Head1"/>
        <w:jc w:val="both"/>
      </w:pPr>
      <w:r w:rsidRPr="00A418D3">
        <w:t>INTRODUCTION</w:t>
      </w:r>
    </w:p>
    <w:p w:rsidR="0051724E" w:rsidRDefault="0051724E" w:rsidP="0051724E">
      <w:pPr>
        <w:jc w:val="both"/>
      </w:pPr>
      <w:r>
        <w:t>The impact of increasing fuel prices, regulated emissions, and CO</w:t>
      </w:r>
      <w:r w:rsidRPr="00AE4C45">
        <w:rPr>
          <w:vertAlign w:val="subscript"/>
        </w:rPr>
        <w:t>2</w:t>
      </w:r>
      <w:r>
        <w:t xml:space="preserve"> emissions have all increased the significance of exhaust Waste Heat Recovery (</w:t>
      </w:r>
      <w:proofErr w:type="spellStart"/>
      <w:r>
        <w:t>WHR</w:t>
      </w:r>
      <w:proofErr w:type="spellEnd"/>
      <w:r>
        <w:t>) to improve engine Break Specific Fuel Consumption (</w:t>
      </w:r>
      <w:proofErr w:type="spellStart"/>
      <w:r>
        <w:t>BSFC</w:t>
      </w:r>
      <w:proofErr w:type="spellEnd"/>
      <w:r>
        <w:t xml:space="preserve">). One method for </w:t>
      </w:r>
      <w:proofErr w:type="spellStart"/>
      <w:r>
        <w:t>WHR</w:t>
      </w:r>
      <w:proofErr w:type="spellEnd"/>
      <w:r>
        <w:t xml:space="preserve"> is the adoption of fluid driven Bottoming Cycles (BC). For </w:t>
      </w:r>
      <w:proofErr w:type="spellStart"/>
      <w:r>
        <w:t>WHR</w:t>
      </w:r>
      <w:proofErr w:type="spellEnd"/>
      <w:r>
        <w:t xml:space="preserve"> applied to Heavy Duty Diesel Engine (</w:t>
      </w:r>
      <w:proofErr w:type="spellStart"/>
      <w:r>
        <w:t>HDDE</w:t>
      </w:r>
      <w:proofErr w:type="spellEnd"/>
      <w:r>
        <w:t xml:space="preserve">) major </w:t>
      </w:r>
      <w:r>
        <w:lastRenderedPageBreak/>
        <w:t xml:space="preserve">manufacturers and powertrain developers including Cummins, </w:t>
      </w:r>
      <w:proofErr w:type="spellStart"/>
      <w:r>
        <w:t>AVL</w:t>
      </w:r>
      <w:proofErr w:type="spellEnd"/>
      <w:r>
        <w:t xml:space="preserve">, Volvo and Ricardo are exploring </w:t>
      </w:r>
      <w:proofErr w:type="spellStart"/>
      <w:r>
        <w:t>BCs</w:t>
      </w:r>
      <w:proofErr w:type="spellEnd"/>
      <w:r>
        <w:t xml:space="preserve">. For maximum improvement, Cummins </w:t>
      </w:r>
      <w:r>
        <w:rPr>
          <w:noProof/>
        </w:rPr>
        <w:t>[1]</w:t>
      </w:r>
      <w:r>
        <w:t xml:space="preserve"> and </w:t>
      </w:r>
      <w:proofErr w:type="spellStart"/>
      <w:r>
        <w:t>AVL</w:t>
      </w:r>
      <w:proofErr w:type="spellEnd"/>
      <w:r>
        <w:t xml:space="preserve"> </w:t>
      </w:r>
      <w:r>
        <w:rPr>
          <w:noProof/>
        </w:rPr>
        <w:t>[2]</w:t>
      </w:r>
      <w:r>
        <w:t xml:space="preserve"> both initially conducted a case study showing an additional 15.3% and 20% of engine shaft power recovered through the BC, respectively. More recently, Cummins has applied its first generation recuperated </w:t>
      </w:r>
      <w:proofErr w:type="spellStart"/>
      <w:r>
        <w:t>R245fa</w:t>
      </w:r>
      <w:proofErr w:type="spellEnd"/>
      <w:r>
        <w:t xml:space="preserve"> Organic </w:t>
      </w:r>
      <w:proofErr w:type="spellStart"/>
      <w:r>
        <w:t>Rankine</w:t>
      </w:r>
      <w:proofErr w:type="spellEnd"/>
      <w:r>
        <w:t xml:space="preserve"> Cycle (</w:t>
      </w:r>
      <w:proofErr w:type="spellStart"/>
      <w:r>
        <w:t>ORC</w:t>
      </w:r>
      <w:proofErr w:type="spellEnd"/>
      <w:r>
        <w:t xml:space="preserve">) to a US 2010 Cummins </w:t>
      </w:r>
      <w:proofErr w:type="spellStart"/>
      <w:r>
        <w:t>ISX</w:t>
      </w:r>
      <w:proofErr w:type="spellEnd"/>
      <w:r>
        <w:t xml:space="preserve"> (</w:t>
      </w:r>
      <w:proofErr w:type="spellStart"/>
      <w:r>
        <w:t>15L</w:t>
      </w:r>
      <w:proofErr w:type="spellEnd"/>
      <w:r>
        <w:t xml:space="preserve">, 6-cylinder) </w:t>
      </w:r>
      <w:proofErr w:type="spellStart"/>
      <w:r>
        <w:t>HDDE</w:t>
      </w:r>
      <w:proofErr w:type="spellEnd"/>
      <w:r>
        <w:t>. Using the heat from Exhaust Gas Recirculation (</w:t>
      </w:r>
      <w:proofErr w:type="spellStart"/>
      <w:r>
        <w:t>EGR</w:t>
      </w:r>
      <w:proofErr w:type="spellEnd"/>
      <w:r>
        <w:t xml:space="preserve">) and the exhaust streams, a 7.4% fuel efficiency improvement across the Heavy Duty Corporate Composite operating cycle was demonstrated </w:t>
      </w:r>
      <w:r>
        <w:rPr>
          <w:noProof/>
        </w:rPr>
        <w:t>[3]</w:t>
      </w:r>
      <w:r>
        <w:t xml:space="preserve">. </w:t>
      </w:r>
      <w:proofErr w:type="spellStart"/>
      <w:r>
        <w:t>AVL</w:t>
      </w:r>
      <w:proofErr w:type="spellEnd"/>
      <w:r>
        <w:t xml:space="preserve"> has applied a superheated recuperated </w:t>
      </w:r>
      <w:proofErr w:type="spellStart"/>
      <w:r>
        <w:t>ORC</w:t>
      </w:r>
      <w:proofErr w:type="spellEnd"/>
      <w:r>
        <w:t xml:space="preserve"> demonstration unit to </w:t>
      </w:r>
      <w:proofErr w:type="spellStart"/>
      <w:r>
        <w:t>10.8L</w:t>
      </w:r>
      <w:proofErr w:type="spellEnd"/>
      <w:r>
        <w:t xml:space="preserve"> </w:t>
      </w:r>
      <w:proofErr w:type="spellStart"/>
      <w:r>
        <w:t>HDDE</w:t>
      </w:r>
      <w:proofErr w:type="spellEnd"/>
      <w:r>
        <w:t xml:space="preserve"> operating with ethanol as the working fluid. The results of </w:t>
      </w:r>
      <w:proofErr w:type="spellStart"/>
      <w:r>
        <w:t>EGR</w:t>
      </w:r>
      <w:proofErr w:type="spellEnd"/>
      <w:r>
        <w:t xml:space="preserve"> and exhaust heat recovery at high load (</w:t>
      </w:r>
      <w:proofErr w:type="spellStart"/>
      <w:r>
        <w:t>C100</w:t>
      </w:r>
      <w:proofErr w:type="spellEnd"/>
      <w:r>
        <w:t xml:space="preserve">) generated 9.12 kW, resulting in a fuel consumption improvement of only 3% </w:t>
      </w:r>
      <w:r>
        <w:rPr>
          <w:noProof/>
        </w:rPr>
        <w:t>[4]</w:t>
      </w:r>
      <w:r>
        <w:t xml:space="preserve">. The reason for reduced </w:t>
      </w:r>
      <w:proofErr w:type="spellStart"/>
      <w:r>
        <w:t>BSFC</w:t>
      </w:r>
      <w:proofErr w:type="spellEnd"/>
      <w:r>
        <w:t xml:space="preserve"> improvements was due to the low operating pressure ratio of the modified GT-25 turbocharger (used as expansion device) and low </w:t>
      </w:r>
      <w:proofErr w:type="spellStart"/>
      <w:r>
        <w:t>EGR</w:t>
      </w:r>
      <w:proofErr w:type="spellEnd"/>
      <w:r>
        <w:t xml:space="preserve"> flow rates (10%). Volvo has also selected ethanol as the working fluid and </w:t>
      </w:r>
      <w:proofErr w:type="gramStart"/>
      <w:r>
        <w:t>are</w:t>
      </w:r>
      <w:proofErr w:type="gramEnd"/>
      <w:r>
        <w:t xml:space="preserve"> intending to use a piston expander. They simulated a parallel </w:t>
      </w:r>
      <w:proofErr w:type="spellStart"/>
      <w:r>
        <w:t>EGR</w:t>
      </w:r>
      <w:proofErr w:type="spellEnd"/>
      <w:r>
        <w:t xml:space="preserve"> and exhaust </w:t>
      </w:r>
      <w:proofErr w:type="spellStart"/>
      <w:r>
        <w:t>WHR</w:t>
      </w:r>
      <w:proofErr w:type="spellEnd"/>
      <w:r>
        <w:t xml:space="preserve"> topology, resulting in 9.9 kW at the </w:t>
      </w:r>
      <w:proofErr w:type="spellStart"/>
      <w:r>
        <w:t>B50</w:t>
      </w:r>
      <w:proofErr w:type="spellEnd"/>
      <w:r w:rsidR="006A41BF">
        <w:t xml:space="preserve"> (</w:t>
      </w:r>
      <w:r>
        <w:t xml:space="preserve">7% of engine power) and 24.5 kW at the </w:t>
      </w:r>
      <w:proofErr w:type="spellStart"/>
      <w:r>
        <w:t>C100</w:t>
      </w:r>
      <w:proofErr w:type="spellEnd"/>
      <w:r>
        <w:t xml:space="preserve"> (8.5% of engine power) condition </w:t>
      </w:r>
      <w:r>
        <w:rPr>
          <w:noProof/>
        </w:rPr>
        <w:t>[5]</w:t>
      </w:r>
      <w:r>
        <w:t xml:space="preserve">. Southwest Research Institute </w:t>
      </w:r>
      <w:proofErr w:type="spellStart"/>
      <w:r>
        <w:t>modelled</w:t>
      </w:r>
      <w:proofErr w:type="spellEnd"/>
      <w:r>
        <w:t xml:space="preserve"> a </w:t>
      </w:r>
      <w:proofErr w:type="spellStart"/>
      <w:r>
        <w:t>Rankine</w:t>
      </w:r>
      <w:proofErr w:type="spellEnd"/>
      <w:r>
        <w:t xml:space="preserve"> cycle, first using exhaust heat and then high temperature </w:t>
      </w:r>
      <w:proofErr w:type="spellStart"/>
      <w:r>
        <w:t>EGR</w:t>
      </w:r>
      <w:proofErr w:type="spellEnd"/>
      <w:r>
        <w:t xml:space="preserve"> heat. With 25-30% </w:t>
      </w:r>
      <w:proofErr w:type="spellStart"/>
      <w:r>
        <w:t>EGR</w:t>
      </w:r>
      <w:proofErr w:type="spellEnd"/>
      <w:r>
        <w:t xml:space="preserve"> flow and condensing temperature of </w:t>
      </w:r>
      <w:proofErr w:type="spellStart"/>
      <w:r>
        <w:t>40°C</w:t>
      </w:r>
      <w:proofErr w:type="spellEnd"/>
      <w:r>
        <w:t xml:space="preserve">, an 8% fuel consumption improvement was calculated </w:t>
      </w:r>
      <w:r>
        <w:rPr>
          <w:noProof/>
        </w:rPr>
        <w:t>[6]</w:t>
      </w:r>
      <w:r>
        <w:t xml:space="preserve">.  </w:t>
      </w:r>
    </w:p>
    <w:p w:rsidR="0051724E" w:rsidRDefault="0051724E" w:rsidP="0051724E">
      <w:pPr>
        <w:jc w:val="both"/>
      </w:pPr>
      <w:proofErr w:type="spellStart"/>
      <w:r>
        <w:t>BCs</w:t>
      </w:r>
      <w:proofErr w:type="spellEnd"/>
      <w:r>
        <w:t xml:space="preserve"> are by no means the only technology for </w:t>
      </w:r>
      <w:proofErr w:type="spellStart"/>
      <w:r>
        <w:t>WHR</w:t>
      </w:r>
      <w:proofErr w:type="spellEnd"/>
      <w:r>
        <w:t>. The development of thermo-electric generators for units under 1 kW has accelerated performance considerably over the last 5 years. Maximum module efficiency of 10% (</w:t>
      </w:r>
      <w:proofErr w:type="spellStart"/>
      <w:r>
        <w:t>ΔT</w:t>
      </w:r>
      <w:proofErr w:type="spellEnd"/>
      <w:r>
        <w:t>=</w:t>
      </w:r>
      <w:proofErr w:type="spellStart"/>
      <w:r>
        <w:t>480°C</w:t>
      </w:r>
      <w:proofErr w:type="spellEnd"/>
      <w:r>
        <w:t>) and 11% (</w:t>
      </w:r>
      <w:proofErr w:type="spellStart"/>
      <w:r>
        <w:t>ΔT</w:t>
      </w:r>
      <w:proofErr w:type="spellEnd"/>
      <w:r>
        <w:t>=</w:t>
      </w:r>
      <w:proofErr w:type="spellStart"/>
      <w:r>
        <w:t>385°C</w:t>
      </w:r>
      <w:proofErr w:type="spellEnd"/>
      <w:r>
        <w:t xml:space="preserve">) are reported by </w:t>
      </w:r>
      <w:proofErr w:type="spellStart"/>
      <w:r>
        <w:t>LaGrandeur</w:t>
      </w:r>
      <w:proofErr w:type="spellEnd"/>
      <w:r>
        <w:t xml:space="preserve"> et al. </w:t>
      </w:r>
      <w:r>
        <w:rPr>
          <w:noProof/>
        </w:rPr>
        <w:t>[7]</w:t>
      </w:r>
      <w:r>
        <w:t xml:space="preserve"> and </w:t>
      </w:r>
      <w:proofErr w:type="spellStart"/>
      <w:r>
        <w:t>Schock</w:t>
      </w:r>
      <w:proofErr w:type="spellEnd"/>
      <w:r>
        <w:t xml:space="preserve"> et al. </w:t>
      </w:r>
      <w:r>
        <w:rPr>
          <w:noProof/>
        </w:rPr>
        <w:t>[8]</w:t>
      </w:r>
      <w:r>
        <w:t>, respectively. Mechanical-Turbo-Compounding (</w:t>
      </w:r>
      <w:proofErr w:type="spellStart"/>
      <w:r>
        <w:t>MTC</w:t>
      </w:r>
      <w:proofErr w:type="spellEnd"/>
      <w:r>
        <w:t xml:space="preserve">) is already established in </w:t>
      </w:r>
      <w:proofErr w:type="spellStart"/>
      <w:r>
        <w:t>HDDEs</w:t>
      </w:r>
      <w:proofErr w:type="spellEnd"/>
      <w:r>
        <w:t xml:space="preserve"> </w:t>
      </w:r>
      <w:r>
        <w:rPr>
          <w:noProof/>
        </w:rPr>
        <w:t>[9]</w:t>
      </w:r>
      <w:r>
        <w:t xml:space="preserve"> and simulation results have shown </w:t>
      </w:r>
      <w:proofErr w:type="spellStart"/>
      <w:r>
        <w:t>BSFC</w:t>
      </w:r>
      <w:proofErr w:type="spellEnd"/>
      <w:r>
        <w:t xml:space="preserve"> improvements between 2.4% and 4% </w:t>
      </w:r>
      <w:r>
        <w:rPr>
          <w:noProof/>
        </w:rPr>
        <w:t>[6, 10]</w:t>
      </w:r>
      <w:r>
        <w:t>. Also, Electrical-Turbo-Compounding (</w:t>
      </w:r>
      <w:proofErr w:type="spellStart"/>
      <w:r>
        <w:t>ETC</w:t>
      </w:r>
      <w:proofErr w:type="spellEnd"/>
      <w:r>
        <w:t xml:space="preserve">) is in demonstration phase and has been partially tested. The independent control of turbine and engine speed makes </w:t>
      </w:r>
      <w:proofErr w:type="spellStart"/>
      <w:r>
        <w:t>ETC</w:t>
      </w:r>
      <w:proofErr w:type="spellEnd"/>
      <w:r>
        <w:t xml:space="preserve"> more efficient compared to </w:t>
      </w:r>
      <w:proofErr w:type="spellStart"/>
      <w:r>
        <w:t>MTC</w:t>
      </w:r>
      <w:proofErr w:type="spellEnd"/>
      <w:r>
        <w:t xml:space="preserve">, with </w:t>
      </w:r>
      <w:proofErr w:type="spellStart"/>
      <w:r>
        <w:t>BSFC</w:t>
      </w:r>
      <w:proofErr w:type="spellEnd"/>
      <w:r>
        <w:t xml:space="preserve"> improvements between 4% and 10% </w:t>
      </w:r>
      <w:r>
        <w:rPr>
          <w:noProof/>
        </w:rPr>
        <w:t>[11, 12]</w:t>
      </w:r>
      <w:r>
        <w:t xml:space="preserve">. However, the above studies show that </w:t>
      </w:r>
      <w:proofErr w:type="spellStart"/>
      <w:r>
        <w:t>BCs</w:t>
      </w:r>
      <w:proofErr w:type="spellEnd"/>
      <w:r>
        <w:t xml:space="preserve"> provides the largest </w:t>
      </w:r>
      <w:proofErr w:type="spellStart"/>
      <w:r>
        <w:t>BSFC</w:t>
      </w:r>
      <w:proofErr w:type="spellEnd"/>
      <w:r>
        <w:t xml:space="preserve"> </w:t>
      </w:r>
    </w:p>
    <w:p w:rsidR="0051724E" w:rsidRDefault="0051724E" w:rsidP="0051724E">
      <w:pPr>
        <w:jc w:val="both"/>
        <w:sectPr w:rsidR="0051724E" w:rsidSect="006009F0">
          <w:type w:val="continuous"/>
          <w:pgSz w:w="12240" w:h="15840"/>
          <w:pgMar w:top="720" w:right="720" w:bottom="720" w:left="720" w:header="720" w:footer="720" w:gutter="0"/>
          <w:cols w:num="2" w:space="720"/>
          <w:docGrid w:linePitch="360"/>
        </w:sectPr>
      </w:pPr>
    </w:p>
    <w:p w:rsidR="0051724E" w:rsidRDefault="0051724E" w:rsidP="0051724E">
      <w:pPr>
        <w:pStyle w:val="NoSpacing"/>
        <w:shd w:val="clear" w:color="000000" w:fill="auto"/>
        <w:jc w:val="center"/>
        <w:rPr>
          <w:rFonts w:ascii="Times New Roman" w:hAnsi="Times New Roman" w:cs="Times New Roman"/>
          <w:b/>
          <w:i/>
          <w:sz w:val="20"/>
          <w:szCs w:val="24"/>
        </w:rPr>
      </w:pPr>
      <w:r w:rsidRPr="009F0198">
        <w:rPr>
          <w:rFonts w:ascii="Times New Roman" w:hAnsi="Times New Roman" w:cs="Times New Roman"/>
          <w:b/>
          <w:i/>
          <w:sz w:val="20"/>
          <w:szCs w:val="24"/>
        </w:rPr>
        <w:lastRenderedPageBreak/>
        <w:t xml:space="preserve">Table 1 Applied </w:t>
      </w:r>
      <w:proofErr w:type="spellStart"/>
      <w:r w:rsidRPr="009F0198">
        <w:rPr>
          <w:rFonts w:ascii="Times New Roman" w:hAnsi="Times New Roman" w:cs="Times New Roman"/>
          <w:b/>
          <w:i/>
          <w:sz w:val="20"/>
          <w:szCs w:val="24"/>
        </w:rPr>
        <w:t>NOx</w:t>
      </w:r>
      <w:proofErr w:type="spellEnd"/>
      <w:r w:rsidRPr="009F0198">
        <w:rPr>
          <w:rFonts w:ascii="Times New Roman" w:hAnsi="Times New Roman" w:cs="Times New Roman"/>
          <w:b/>
          <w:i/>
          <w:sz w:val="20"/>
          <w:szCs w:val="24"/>
        </w:rPr>
        <w:t xml:space="preserve"> strategy for </w:t>
      </w:r>
      <w:proofErr w:type="spellStart"/>
      <w:r w:rsidRPr="009F0198">
        <w:rPr>
          <w:rFonts w:ascii="Times New Roman" w:hAnsi="Times New Roman" w:cs="Times New Roman"/>
          <w:b/>
          <w:i/>
          <w:sz w:val="20"/>
          <w:szCs w:val="24"/>
        </w:rPr>
        <w:t>EGR</w:t>
      </w:r>
      <w:proofErr w:type="spellEnd"/>
      <w:r w:rsidRPr="009F0198">
        <w:rPr>
          <w:rFonts w:ascii="Times New Roman" w:hAnsi="Times New Roman" w:cs="Times New Roman"/>
          <w:b/>
          <w:i/>
          <w:sz w:val="20"/>
          <w:szCs w:val="24"/>
        </w:rPr>
        <w:t xml:space="preserve"> only and </w:t>
      </w:r>
      <w:proofErr w:type="spellStart"/>
      <w:r w:rsidRPr="009F0198">
        <w:rPr>
          <w:rFonts w:ascii="Times New Roman" w:hAnsi="Times New Roman" w:cs="Times New Roman"/>
          <w:b/>
          <w:i/>
          <w:sz w:val="20"/>
          <w:szCs w:val="24"/>
        </w:rPr>
        <w:t>EGR</w:t>
      </w:r>
      <w:proofErr w:type="spellEnd"/>
      <w:r w:rsidRPr="009F0198">
        <w:rPr>
          <w:rFonts w:ascii="Times New Roman" w:hAnsi="Times New Roman" w:cs="Times New Roman"/>
          <w:b/>
          <w:i/>
          <w:sz w:val="20"/>
          <w:szCs w:val="24"/>
        </w:rPr>
        <w:t xml:space="preserve"> focused platforms to meet Euro 6 emissions, and the resulting waste heat quantity and quality for the </w:t>
      </w:r>
      <w:proofErr w:type="spellStart"/>
      <w:r w:rsidRPr="009F0198">
        <w:rPr>
          <w:rFonts w:ascii="Times New Roman" w:hAnsi="Times New Roman" w:cs="Times New Roman"/>
          <w:b/>
          <w:i/>
          <w:sz w:val="20"/>
          <w:szCs w:val="24"/>
        </w:rPr>
        <w:t>10L</w:t>
      </w:r>
      <w:proofErr w:type="spellEnd"/>
      <w:r w:rsidRPr="009F0198">
        <w:rPr>
          <w:rFonts w:ascii="Times New Roman" w:hAnsi="Times New Roman" w:cs="Times New Roman"/>
          <w:b/>
          <w:i/>
          <w:sz w:val="20"/>
          <w:szCs w:val="24"/>
        </w:rPr>
        <w:t xml:space="preserve"> engine models.</w:t>
      </w:r>
    </w:p>
    <w:p w:rsidR="0051724E" w:rsidRDefault="0051724E" w:rsidP="0051724E">
      <w:pPr>
        <w:pStyle w:val="NoSpacing"/>
        <w:shd w:val="clear" w:color="000000" w:fill="auto"/>
        <w:jc w:val="center"/>
        <w:rPr>
          <w:rFonts w:ascii="Times New Roman" w:hAnsi="Times New Roman" w:cs="Times New Roman"/>
          <w:b/>
          <w:i/>
          <w:sz w:val="20"/>
          <w:szCs w:val="24"/>
        </w:rPr>
      </w:pPr>
      <w:r>
        <w:rPr>
          <w:rFonts w:ascii="Times New Roman" w:hAnsi="Times New Roman" w:cs="Times New Roman"/>
          <w:b/>
          <w:i/>
          <w:noProof/>
          <w:sz w:val="20"/>
          <w:szCs w:val="24"/>
          <w:lang w:eastAsia="en-GB"/>
        </w:rPr>
        <w:drawing>
          <wp:inline distT="0" distB="0" distL="0" distR="0" wp14:anchorId="13D2688F" wp14:editId="0A01E083">
            <wp:extent cx="6383020" cy="110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3020" cy="1109345"/>
                    </a:xfrm>
                    <a:prstGeom prst="rect">
                      <a:avLst/>
                    </a:prstGeom>
                    <a:noFill/>
                  </pic:spPr>
                </pic:pic>
              </a:graphicData>
            </a:graphic>
          </wp:inline>
        </w:drawing>
      </w:r>
    </w:p>
    <w:p w:rsidR="0051724E" w:rsidRDefault="0051724E" w:rsidP="0051724E">
      <w:pPr>
        <w:pStyle w:val="NoSpacing"/>
        <w:shd w:val="clear" w:color="000000" w:fill="auto"/>
        <w:rPr>
          <w:rFonts w:ascii="Times New Roman" w:hAnsi="Times New Roman" w:cs="Times New Roman"/>
          <w:sz w:val="24"/>
          <w:szCs w:val="24"/>
        </w:rPr>
      </w:pPr>
    </w:p>
    <w:p w:rsidR="0051724E" w:rsidRDefault="0051724E" w:rsidP="0051724E">
      <w:pPr>
        <w:sectPr w:rsidR="0051724E" w:rsidSect="00815CAE">
          <w:type w:val="continuous"/>
          <w:pgSz w:w="12240" w:h="15840"/>
          <w:pgMar w:top="720" w:right="720" w:bottom="720" w:left="720" w:header="720" w:footer="720" w:gutter="0"/>
          <w:cols w:space="720"/>
          <w:docGrid w:linePitch="360"/>
        </w:sectPr>
      </w:pPr>
    </w:p>
    <w:p w:rsidR="0051724E" w:rsidRDefault="0051724E" w:rsidP="0051724E">
      <w:pPr>
        <w:jc w:val="both"/>
      </w:pPr>
      <w:proofErr w:type="gramStart"/>
      <w:r>
        <w:lastRenderedPageBreak/>
        <w:t>improvement</w:t>
      </w:r>
      <w:proofErr w:type="gramEnd"/>
      <w:r>
        <w:t xml:space="preserve">, they are less sensitive to vehicle load, and cost considerations ($/kW) show them to be competitive </w:t>
      </w:r>
      <w:r>
        <w:rPr>
          <w:noProof/>
        </w:rPr>
        <w:t>[6, 13]</w:t>
      </w:r>
      <w:r>
        <w:t xml:space="preserve">.  </w:t>
      </w:r>
    </w:p>
    <w:p w:rsidR="0051724E" w:rsidRDefault="0051724E" w:rsidP="0051724E">
      <w:pPr>
        <w:jc w:val="both"/>
      </w:pPr>
      <w:r w:rsidRPr="000F7E26">
        <w:t>Efficiency of all the waste heat to power conversion technologies mentioned are limited by the flow rate and temperature levels of the heat streams. They face certain common interrelated barriers: payback periods, temperature limits of recovery equipment, thermal cycling, reliability, and performance.</w:t>
      </w:r>
      <w:r>
        <w:t xml:space="preserve"> </w:t>
      </w:r>
      <w:r w:rsidRPr="00E47C7E">
        <w:t xml:space="preserve">They will also include advanced controls </w:t>
      </w:r>
      <w:r>
        <w:t xml:space="preserve">to </w:t>
      </w:r>
      <w:proofErr w:type="spellStart"/>
      <w:r>
        <w:t>minimise</w:t>
      </w:r>
      <w:proofErr w:type="spellEnd"/>
      <w:r>
        <w:t xml:space="preserve"> the disadvantage linked to the varied driving conditions. Despite their success in stationary application, </w:t>
      </w:r>
      <w:proofErr w:type="spellStart"/>
      <w:r>
        <w:t>BCs</w:t>
      </w:r>
      <w:proofErr w:type="spellEnd"/>
      <w:r>
        <w:t xml:space="preserve"> face some technology specific barriers which are impeding their wider adoption and installation when applied to road transport application. These include: cost (economies of scale), chemical (corrosion/fouling, working fluid toxicity and flammability, potential of exhaust and working fluid mixing), physical (complexity, packaging, weight, crash safety) and performance (variable turbine/expander speed).</w:t>
      </w:r>
    </w:p>
    <w:p w:rsidR="0051724E" w:rsidRDefault="0051724E" w:rsidP="0051724E">
      <w:proofErr w:type="spellStart"/>
      <w:r w:rsidRPr="00815CAE">
        <w:rPr>
          <w:b/>
          <w:caps/>
          <w:sz w:val="28"/>
          <w:szCs w:val="28"/>
          <w:u w:val="single"/>
        </w:rPr>
        <w:t>NO</w:t>
      </w:r>
      <w:r w:rsidRPr="00A36216">
        <w:rPr>
          <w:b/>
          <w:caps/>
          <w:sz w:val="16"/>
          <w:szCs w:val="28"/>
          <w:u w:val="single"/>
        </w:rPr>
        <w:t>x</w:t>
      </w:r>
      <w:proofErr w:type="spellEnd"/>
      <w:r w:rsidRPr="00815CAE">
        <w:rPr>
          <w:b/>
          <w:caps/>
          <w:sz w:val="28"/>
          <w:szCs w:val="28"/>
          <w:u w:val="single"/>
        </w:rPr>
        <w:t xml:space="preserve"> solution layouts</w:t>
      </w:r>
    </w:p>
    <w:p w:rsidR="0051724E" w:rsidRDefault="0051724E" w:rsidP="0051724E">
      <w:pPr>
        <w:jc w:val="both"/>
      </w:pPr>
      <w:r>
        <w:t xml:space="preserve">The advances in </w:t>
      </w:r>
      <w:proofErr w:type="spellStart"/>
      <w:r>
        <w:t>EGR</w:t>
      </w:r>
      <w:proofErr w:type="spellEnd"/>
      <w:r>
        <w:t>, Diesel Particulate Filter (</w:t>
      </w:r>
      <w:proofErr w:type="spellStart"/>
      <w:r>
        <w:t>DPF</w:t>
      </w:r>
      <w:proofErr w:type="spellEnd"/>
      <w:r>
        <w:t xml:space="preserve">), Turbo-Charger (T/C) and fuel injection equipment technology, have allowed the possibility to explore Euro 6 and US 2010 </w:t>
      </w:r>
      <w:proofErr w:type="spellStart"/>
      <w:r>
        <w:t>NOx</w:t>
      </w:r>
      <w:proofErr w:type="spellEnd"/>
      <w:r>
        <w:t xml:space="preserve"> limits without after-treatment. The use of high </w:t>
      </w:r>
      <w:proofErr w:type="spellStart"/>
      <w:r>
        <w:t>EGR</w:t>
      </w:r>
      <w:proofErr w:type="spellEnd"/>
      <w:r>
        <w:t xml:space="preserve"> rate and the delayed combustion to meet Euro 6 engine-out </w:t>
      </w:r>
      <w:proofErr w:type="spellStart"/>
      <w:r>
        <w:t>NOx</w:t>
      </w:r>
      <w:proofErr w:type="spellEnd"/>
      <w:r>
        <w:t xml:space="preserve"> emission avoid additional after-treatment but inherit the drawback of increasing engine </w:t>
      </w:r>
      <w:proofErr w:type="spellStart"/>
      <w:r>
        <w:t>BSFC</w:t>
      </w:r>
      <w:proofErr w:type="spellEnd"/>
      <w:r>
        <w:t xml:space="preserve">. For US 2010 emissions it is estimated that an </w:t>
      </w:r>
      <w:proofErr w:type="spellStart"/>
      <w:r>
        <w:t>EGR</w:t>
      </w:r>
      <w:proofErr w:type="spellEnd"/>
      <w:r>
        <w:t xml:space="preserve"> only engine shows a 5-7% fuel penalty when compared to a Selective Catalytic Reduction (</w:t>
      </w:r>
      <w:proofErr w:type="spellStart"/>
      <w:r>
        <w:t>SCR</w:t>
      </w:r>
      <w:proofErr w:type="spellEnd"/>
      <w:r>
        <w:t xml:space="preserve">) focused platform </w:t>
      </w:r>
      <w:r>
        <w:rPr>
          <w:noProof/>
        </w:rPr>
        <w:t>[14]</w:t>
      </w:r>
      <w:r>
        <w:t xml:space="preserve">. However, when urea consumption is included the projected </w:t>
      </w:r>
      <w:proofErr w:type="spellStart"/>
      <w:r>
        <w:t>BSFC</w:t>
      </w:r>
      <w:proofErr w:type="spellEnd"/>
      <w:r>
        <w:t xml:space="preserve"> penalty for a </w:t>
      </w:r>
      <w:proofErr w:type="spellStart"/>
      <w:r>
        <w:t>SCR</w:t>
      </w:r>
      <w:proofErr w:type="spellEnd"/>
      <w:r>
        <w:t xml:space="preserve"> focused (Euro 4 engine out </w:t>
      </w:r>
      <w:proofErr w:type="spellStart"/>
      <w:r>
        <w:t>NOx</w:t>
      </w:r>
      <w:proofErr w:type="spellEnd"/>
      <w:r>
        <w:t xml:space="preserve"> + 90% </w:t>
      </w:r>
      <w:proofErr w:type="spellStart"/>
      <w:r>
        <w:t>SCR</w:t>
      </w:r>
      <w:proofErr w:type="spellEnd"/>
      <w:r>
        <w:t xml:space="preserve">) engine reduces to 4% for Euro 6 conditions </w:t>
      </w:r>
      <w:r>
        <w:rPr>
          <w:noProof/>
        </w:rPr>
        <w:t>[15]</w:t>
      </w:r>
      <w:r>
        <w:t xml:space="preserve">. </w:t>
      </w:r>
    </w:p>
    <w:p w:rsidR="0051724E" w:rsidRDefault="0051724E" w:rsidP="0051724E">
      <w:pPr>
        <w:jc w:val="both"/>
      </w:pPr>
      <w:r>
        <w:t xml:space="preserve">The adoption of </w:t>
      </w:r>
      <w:proofErr w:type="spellStart"/>
      <w:r>
        <w:t>EGR</w:t>
      </w:r>
      <w:proofErr w:type="spellEnd"/>
      <w:r>
        <w:t xml:space="preserve"> only approach compromises on specific power output and fuel economy. With elevated boost, in-cylinder and rail pressures, a stronger mechanical design of the engine will be required. Mixing of </w:t>
      </w:r>
      <w:proofErr w:type="spellStart"/>
      <w:r>
        <w:t>EGR</w:t>
      </w:r>
      <w:proofErr w:type="spellEnd"/>
      <w:r>
        <w:t xml:space="preserve"> and Charge Air Cooler (</w:t>
      </w:r>
      <w:proofErr w:type="spellStart"/>
      <w:r>
        <w:t>CAC</w:t>
      </w:r>
      <w:proofErr w:type="spellEnd"/>
      <w:r>
        <w:t xml:space="preserve">) stream, protection against fouling/corrosion and avoiding </w:t>
      </w:r>
      <w:proofErr w:type="spellStart"/>
      <w:r>
        <w:t>DPF</w:t>
      </w:r>
      <w:proofErr w:type="spellEnd"/>
      <w:r>
        <w:t xml:space="preserve"> filter plugging, all have to be ensured. To reduce start of combustion temperatures, considerable amount of waste heat has to be rejected from the inter-cooler and after-cooler. Furthermore, the increased exhaust gases cooled and diverted back to the intake will increase the complexity, volume, weight and cost of the engine’s cooling module. However, there are some advantages of an </w:t>
      </w:r>
      <w:proofErr w:type="spellStart"/>
      <w:r>
        <w:t>EGR</w:t>
      </w:r>
      <w:proofErr w:type="spellEnd"/>
      <w:r>
        <w:t xml:space="preserve"> only engine </w:t>
      </w:r>
      <w:r>
        <w:lastRenderedPageBreak/>
        <w:t xml:space="preserve">when compared to a combined platform, including no urea requirement, lower operating cost, less maintenance and lower vehicle weight </w:t>
      </w:r>
      <w:r>
        <w:rPr>
          <w:noProof/>
        </w:rPr>
        <w:t>[16]</w:t>
      </w:r>
      <w:r>
        <w:t xml:space="preserve">. The estimated weight and cost for an additional low temperature </w:t>
      </w:r>
      <w:proofErr w:type="spellStart"/>
      <w:r>
        <w:t>EGR</w:t>
      </w:r>
      <w:proofErr w:type="spellEnd"/>
      <w:r>
        <w:t xml:space="preserve"> cooler, which will cool the </w:t>
      </w:r>
      <w:proofErr w:type="spellStart"/>
      <w:r>
        <w:t>EGR</w:t>
      </w:r>
      <w:proofErr w:type="spellEnd"/>
      <w:r>
        <w:t xml:space="preserve"> to </w:t>
      </w:r>
      <w:proofErr w:type="spellStart"/>
      <w:r>
        <w:t>100°C</w:t>
      </w:r>
      <w:proofErr w:type="spellEnd"/>
      <w:r>
        <w:t xml:space="preserve"> is estimated to be only around 18 kg and $750 respectively (on top of the standard </w:t>
      </w:r>
      <w:proofErr w:type="spellStart"/>
      <w:r>
        <w:t>EGR</w:t>
      </w:r>
      <w:proofErr w:type="spellEnd"/>
      <w:r>
        <w:t xml:space="preserve"> cooler) </w:t>
      </w:r>
      <w:r>
        <w:rPr>
          <w:noProof/>
        </w:rPr>
        <w:t>[6]</w:t>
      </w:r>
      <w:r>
        <w:t>. The after-treatment package (</w:t>
      </w:r>
      <w:proofErr w:type="spellStart"/>
      <w:r>
        <w:t>DPF+EGR+SCR</w:t>
      </w:r>
      <w:proofErr w:type="spellEnd"/>
      <w:r>
        <w:t xml:space="preserve">) represents a cost of around $17,100 for US 2010 emissions, which is not far below the cost of an </w:t>
      </w:r>
      <w:proofErr w:type="spellStart"/>
      <w:r>
        <w:t>HDDE</w:t>
      </w:r>
      <w:proofErr w:type="spellEnd"/>
      <w:r>
        <w:t xml:space="preserve"> engine </w:t>
      </w:r>
      <w:r>
        <w:rPr>
          <w:noProof/>
        </w:rPr>
        <w:t>[17]</w:t>
      </w:r>
      <w:r>
        <w:t>, signifies the importance of exploring cost effective integrated solutions.</w:t>
      </w:r>
    </w:p>
    <w:p w:rsidR="0051724E" w:rsidRPr="003D53A3" w:rsidRDefault="0051724E" w:rsidP="0051724E">
      <w:pPr>
        <w:jc w:val="both"/>
      </w:pPr>
      <w:r>
        <w:t xml:space="preserve">To investigate this, the addition of </w:t>
      </w:r>
      <w:proofErr w:type="spellStart"/>
      <w:r>
        <w:t>WHR</w:t>
      </w:r>
      <w:proofErr w:type="spellEnd"/>
      <w:r>
        <w:t xml:space="preserve"> on an </w:t>
      </w:r>
      <w:proofErr w:type="spellStart"/>
      <w:r>
        <w:t>EGR</w:t>
      </w:r>
      <w:proofErr w:type="spellEnd"/>
      <w:r>
        <w:t xml:space="preserve"> only engine was conducted by a simulation study. Also included are results for an </w:t>
      </w:r>
      <w:proofErr w:type="spellStart"/>
      <w:r>
        <w:t>EGR</w:t>
      </w:r>
      <w:proofErr w:type="spellEnd"/>
      <w:r>
        <w:t xml:space="preserve"> focused (Euro 5 engine out </w:t>
      </w:r>
      <w:proofErr w:type="spellStart"/>
      <w:r>
        <w:t>NOx</w:t>
      </w:r>
      <w:proofErr w:type="spellEnd"/>
      <w:r>
        <w:t xml:space="preserve"> + 80% </w:t>
      </w:r>
      <w:proofErr w:type="spellStart"/>
      <w:r>
        <w:t>SCR</w:t>
      </w:r>
      <w:proofErr w:type="spellEnd"/>
      <w:r>
        <w:t xml:space="preserve">) engine. To generate waste heat quantities and qualities typical of long haul engine, two </w:t>
      </w:r>
      <w:proofErr w:type="spellStart"/>
      <w:r>
        <w:t>10L</w:t>
      </w:r>
      <w:proofErr w:type="spellEnd"/>
      <w:r>
        <w:t xml:space="preserve"> (</w:t>
      </w:r>
      <w:proofErr w:type="spellStart"/>
      <w:r>
        <w:t>EGR</w:t>
      </w:r>
      <w:proofErr w:type="spellEnd"/>
      <w:r>
        <w:t xml:space="preserve"> only and </w:t>
      </w:r>
      <w:proofErr w:type="spellStart"/>
      <w:r>
        <w:t>EGR</w:t>
      </w:r>
      <w:proofErr w:type="spellEnd"/>
      <w:r>
        <w:t xml:space="preserve"> focused) engine simulation models were developed in Ricardo WAVE 8.1 </w:t>
      </w:r>
      <w:r>
        <w:rPr>
          <w:noProof/>
        </w:rPr>
        <w:t>[18]</w:t>
      </w:r>
      <w:r>
        <w:t xml:space="preserve"> running with the available test data from an experimental </w:t>
      </w:r>
      <w:proofErr w:type="spellStart"/>
      <w:r>
        <w:t>2L</w:t>
      </w:r>
      <w:proofErr w:type="spellEnd"/>
      <w:r>
        <w:t xml:space="preserve"> single cylinder, Ricardo Proteus, </w:t>
      </w:r>
      <w:proofErr w:type="spellStart"/>
      <w:r>
        <w:t>HDDE</w:t>
      </w:r>
      <w:proofErr w:type="spellEnd"/>
      <w:r>
        <w:t xml:space="preserve"> </w:t>
      </w:r>
      <w:r>
        <w:rPr>
          <w:noProof/>
        </w:rPr>
        <w:t>[19]</w:t>
      </w:r>
      <w:r>
        <w:t xml:space="preserve">. The </w:t>
      </w:r>
      <w:proofErr w:type="spellStart"/>
      <w:r>
        <w:t>2L</w:t>
      </w:r>
      <w:proofErr w:type="spellEnd"/>
      <w:r>
        <w:t xml:space="preserve"> engine is configured as a direct injection Diesel engine with a low swirl. A common rail single injection fuelling equipment with injection pressures up to 3000 bar was employed to partly compensate for the increase in particulate matter emission. As the exhaust temperature profoundly influence the </w:t>
      </w:r>
      <w:proofErr w:type="spellStart"/>
      <w:r>
        <w:t>WHR</w:t>
      </w:r>
      <w:proofErr w:type="spellEnd"/>
      <w:r>
        <w:t xml:space="preserve">, the high temperatures along the exhaust line for the </w:t>
      </w:r>
      <w:proofErr w:type="spellStart"/>
      <w:r>
        <w:t>10L</w:t>
      </w:r>
      <w:proofErr w:type="spellEnd"/>
      <w:r>
        <w:t xml:space="preserve"> models were matched within </w:t>
      </w:r>
      <w:proofErr w:type="spellStart"/>
      <w:r>
        <w:t>20°C</w:t>
      </w:r>
      <w:proofErr w:type="spellEnd"/>
      <w:r>
        <w:t xml:space="preserve"> of the experimental </w:t>
      </w:r>
      <w:r w:rsidRPr="003D53A3">
        <w:t xml:space="preserve">values. The applied </w:t>
      </w:r>
      <w:proofErr w:type="spellStart"/>
      <w:r w:rsidRPr="003D53A3">
        <w:t>NOx</w:t>
      </w:r>
      <w:proofErr w:type="spellEnd"/>
      <w:r w:rsidRPr="003D53A3">
        <w:t xml:space="preserve"> strategy for the two </w:t>
      </w:r>
      <w:proofErr w:type="spellStart"/>
      <w:r w:rsidRPr="003D53A3">
        <w:t>10L</w:t>
      </w:r>
      <w:proofErr w:type="spellEnd"/>
      <w:r w:rsidRPr="003D53A3">
        <w:t xml:space="preserve"> engine platforms at a typical cruise (</w:t>
      </w:r>
      <w:proofErr w:type="spellStart"/>
      <w:r w:rsidRPr="003D53A3">
        <w:t>B50</w:t>
      </w:r>
      <w:proofErr w:type="spellEnd"/>
      <w:r w:rsidRPr="003D53A3">
        <w:t>) and high load (</w:t>
      </w:r>
      <w:proofErr w:type="spellStart"/>
      <w:r w:rsidRPr="003D53A3">
        <w:t>C100</w:t>
      </w:r>
      <w:proofErr w:type="spellEnd"/>
      <w:r w:rsidRPr="003D53A3">
        <w:t xml:space="preserve">) conditions along with the heat available in </w:t>
      </w:r>
      <w:proofErr w:type="spellStart"/>
      <w:r w:rsidRPr="003D53A3">
        <w:t>CAC</w:t>
      </w:r>
      <w:proofErr w:type="spellEnd"/>
      <w:r w:rsidRPr="003D53A3">
        <w:t xml:space="preserve"> and </w:t>
      </w:r>
      <w:proofErr w:type="spellStart"/>
      <w:r w:rsidRPr="003D53A3">
        <w:t>EGR</w:t>
      </w:r>
      <w:proofErr w:type="spellEnd"/>
      <w:r w:rsidRPr="003D53A3">
        <w:t xml:space="preserve"> heat exchangers with hot and cold temperatures are given in table 1.</w:t>
      </w:r>
    </w:p>
    <w:p w:rsidR="0051724E" w:rsidRDefault="0051724E" w:rsidP="0051724E">
      <w:r w:rsidRPr="007B19E1">
        <w:rPr>
          <w:b/>
          <w:caps/>
          <w:sz w:val="28"/>
          <w:szCs w:val="28"/>
          <w:u w:val="single"/>
        </w:rPr>
        <w:t>Methodology</w:t>
      </w:r>
    </w:p>
    <w:p w:rsidR="0051724E" w:rsidRDefault="0051724E" w:rsidP="0051724E">
      <w:pPr>
        <w:jc w:val="both"/>
      </w:pPr>
      <w:r w:rsidRPr="004E2C60">
        <w:t xml:space="preserve">The temperature levels seen in the </w:t>
      </w:r>
      <w:proofErr w:type="spellStart"/>
      <w:r w:rsidRPr="004E2C60">
        <w:t>EGR</w:t>
      </w:r>
      <w:proofErr w:type="spellEnd"/>
      <w:r w:rsidRPr="004E2C60">
        <w:t xml:space="preserve"> cooler (</w:t>
      </w:r>
      <w:proofErr w:type="spellStart"/>
      <w:r w:rsidRPr="004E2C60">
        <w:t>370-470°C</w:t>
      </w:r>
      <w:proofErr w:type="spellEnd"/>
      <w:r w:rsidRPr="004E2C60">
        <w:t xml:space="preserve">, table 1), cannot be simultaneously used to </w:t>
      </w:r>
      <w:proofErr w:type="spellStart"/>
      <w:r w:rsidRPr="004E2C60">
        <w:t>maximise</w:t>
      </w:r>
      <w:proofErr w:type="spellEnd"/>
      <w:r w:rsidRPr="004E2C60">
        <w:t xml:space="preserve"> engine </w:t>
      </w:r>
      <w:proofErr w:type="spellStart"/>
      <w:r w:rsidRPr="004E2C60">
        <w:t>BSFC</w:t>
      </w:r>
      <w:proofErr w:type="spellEnd"/>
      <w:r w:rsidRPr="004E2C60">
        <w:t xml:space="preserve"> while providing highly cooled </w:t>
      </w:r>
      <w:proofErr w:type="spellStart"/>
      <w:r w:rsidRPr="004E2C60">
        <w:t>EGR</w:t>
      </w:r>
      <w:proofErr w:type="spellEnd"/>
      <w:r w:rsidRPr="004E2C60">
        <w:t xml:space="preserve"> temperatures using the conventional superheated </w:t>
      </w:r>
      <w:proofErr w:type="spellStart"/>
      <w:r w:rsidRPr="004E2C60">
        <w:t>Rankine</w:t>
      </w:r>
      <w:proofErr w:type="spellEnd"/>
      <w:r w:rsidRPr="004E2C60">
        <w:t xml:space="preserve"> cycle method. This is due to water’s largest ratio of latent heat to sensible heat.</w:t>
      </w:r>
      <w:r w:rsidRPr="003D53A3">
        <w:t xml:space="preserve">  </w:t>
      </w:r>
      <w:r>
        <w:t xml:space="preserve">In this context, research on how to convert this temperature level heat source efficiently into power is of great significance. Organic and synthetic fluids can be selected with the necessary trade-offs between, thermodynamic, thermo-physical, chemical, environmental, and safety properties to </w:t>
      </w:r>
      <w:proofErr w:type="spellStart"/>
      <w:r>
        <w:t>maximise</w:t>
      </w:r>
      <w:proofErr w:type="spellEnd"/>
      <w:r>
        <w:t xml:space="preserve"> the power conversion with an economically viable system. </w:t>
      </w:r>
    </w:p>
    <w:p w:rsidR="0051724E" w:rsidRDefault="0051724E" w:rsidP="0051724E">
      <w:pPr>
        <w:jc w:val="both"/>
        <w:sectPr w:rsidR="0051724E" w:rsidSect="006009F0">
          <w:type w:val="continuous"/>
          <w:pgSz w:w="12240" w:h="15840"/>
          <w:pgMar w:top="720" w:right="720" w:bottom="720" w:left="720" w:header="720" w:footer="720" w:gutter="0"/>
          <w:cols w:num="2" w:space="720"/>
          <w:docGrid w:linePitch="360"/>
        </w:sectPr>
      </w:pPr>
    </w:p>
    <w:p w:rsidR="0051724E" w:rsidRDefault="0051724E" w:rsidP="0051724E">
      <w:pPr>
        <w:shd w:val="clear" w:color="000000" w:fill="auto"/>
        <w:spacing w:after="0"/>
        <w:jc w:val="center"/>
        <w:rPr>
          <w:rFonts w:eastAsiaTheme="minorHAnsi"/>
          <w:b/>
          <w:i/>
          <w:lang w:val="en-GB"/>
        </w:rPr>
      </w:pPr>
      <w:r w:rsidRPr="00C84324">
        <w:rPr>
          <w:rFonts w:eastAsiaTheme="minorHAnsi"/>
          <w:b/>
          <w:i/>
          <w:lang w:val="en-GB"/>
        </w:rPr>
        <w:lastRenderedPageBreak/>
        <w:t>Table 3 Thermodynamic/thermo-physical and environmental/safety properties of the seven fluids discussed.</w:t>
      </w:r>
    </w:p>
    <w:p w:rsidR="0051724E" w:rsidRDefault="0051724E" w:rsidP="0051724E">
      <w:pPr>
        <w:shd w:val="clear" w:color="000000" w:fill="auto"/>
        <w:spacing w:after="0"/>
        <w:jc w:val="center"/>
        <w:rPr>
          <w:rFonts w:eastAsiaTheme="minorHAnsi"/>
          <w:b/>
          <w:i/>
          <w:lang w:val="en-GB"/>
        </w:rPr>
      </w:pPr>
      <w:r>
        <w:rPr>
          <w:rFonts w:eastAsiaTheme="minorHAnsi"/>
          <w:b/>
          <w:i/>
          <w:noProof/>
          <w:lang w:val="en-GB" w:eastAsia="en-GB"/>
        </w:rPr>
        <w:drawing>
          <wp:inline distT="0" distB="0" distL="0" distR="0" wp14:anchorId="050EBBAA" wp14:editId="21421378">
            <wp:extent cx="6413500" cy="21456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0" cy="2145665"/>
                    </a:xfrm>
                    <a:prstGeom prst="rect">
                      <a:avLst/>
                    </a:prstGeom>
                    <a:noFill/>
                  </pic:spPr>
                </pic:pic>
              </a:graphicData>
            </a:graphic>
          </wp:inline>
        </w:drawing>
      </w:r>
    </w:p>
    <w:p w:rsidR="0051724E" w:rsidRPr="00C84324" w:rsidRDefault="0051724E" w:rsidP="0051724E">
      <w:pPr>
        <w:shd w:val="clear" w:color="000000" w:fill="auto"/>
        <w:spacing w:after="0"/>
        <w:rPr>
          <w:rFonts w:eastAsiaTheme="minorHAnsi"/>
          <w:sz w:val="24"/>
          <w:lang w:val="en-GB"/>
        </w:rPr>
      </w:pPr>
    </w:p>
    <w:p w:rsidR="0051724E" w:rsidRDefault="0051724E" w:rsidP="0051724E">
      <w:pPr>
        <w:sectPr w:rsidR="0051724E" w:rsidSect="00C84324">
          <w:pgSz w:w="12240" w:h="15840"/>
          <w:pgMar w:top="720" w:right="720" w:bottom="720" w:left="720" w:header="720" w:footer="720" w:gutter="0"/>
          <w:cols w:space="720"/>
          <w:docGrid w:linePitch="360"/>
        </w:sectPr>
      </w:pPr>
    </w:p>
    <w:p w:rsidR="0051724E" w:rsidRDefault="0051724E" w:rsidP="0051724E">
      <w:pPr>
        <w:jc w:val="both"/>
      </w:pPr>
      <w:r>
        <w:lastRenderedPageBreak/>
        <w:t xml:space="preserve">A detailed selection study to identify potential working fluids for </w:t>
      </w:r>
      <w:proofErr w:type="spellStart"/>
      <w:r>
        <w:t>EGR</w:t>
      </w:r>
      <w:proofErr w:type="spellEnd"/>
      <w:r>
        <w:t xml:space="preserve"> </w:t>
      </w:r>
      <w:proofErr w:type="spellStart"/>
      <w:r>
        <w:t>WHR</w:t>
      </w:r>
      <w:proofErr w:type="spellEnd"/>
      <w:r>
        <w:t xml:space="preserve"> has already been conducted by the authors </w:t>
      </w:r>
      <w:r>
        <w:rPr>
          <w:noProof/>
        </w:rPr>
        <w:t>[20]</w:t>
      </w:r>
      <w:r>
        <w:t>. With multiple fluid screening criteria, common BC boundary conditions, and similar equipment performance assumptions, the study highlighted the system and performance benefits</w:t>
      </w:r>
      <w:r w:rsidRPr="00821D2F">
        <w:t xml:space="preserve"> </w:t>
      </w:r>
      <w:r>
        <w:t>when using non-ozone depleting chlorinated fluids (</w:t>
      </w:r>
      <w:proofErr w:type="spellStart"/>
      <w:r>
        <w:t>R1130</w:t>
      </w:r>
      <w:proofErr w:type="spellEnd"/>
      <w:r w:rsidRPr="00C7449F">
        <w:t xml:space="preserve"> </w:t>
      </w:r>
      <w:r>
        <w:t xml:space="preserve">and </w:t>
      </w:r>
      <w:proofErr w:type="spellStart"/>
      <w:r>
        <w:t>R30</w:t>
      </w:r>
      <w:proofErr w:type="spellEnd"/>
      <w:r>
        <w:t xml:space="preserve">), acetone and ethyl iodide. When benchmarked for fixed evaporator pressures the selected fluids also showed advantages over </w:t>
      </w:r>
      <w:proofErr w:type="spellStart"/>
      <w:r>
        <w:t>R245fa</w:t>
      </w:r>
      <w:proofErr w:type="spellEnd"/>
      <w:r>
        <w:t xml:space="preserve">, ethanol and water, the preferred options for automotive application in present literature.  </w:t>
      </w:r>
    </w:p>
    <w:p w:rsidR="0051724E" w:rsidRDefault="0051724E" w:rsidP="0051724E">
      <w:pPr>
        <w:jc w:val="both"/>
      </w:pPr>
      <w:r>
        <w:t xml:space="preserve">Due to limitations associated with the </w:t>
      </w:r>
      <w:proofErr w:type="spellStart"/>
      <w:r>
        <w:t>EGR</w:t>
      </w:r>
      <w:proofErr w:type="spellEnd"/>
      <w:r>
        <w:t xml:space="preserve"> quality, quantity, and variability the influence of the selected working fluid and the corresponding operating condition can be vital. However, detailed studies on the selected operating condition and trade-offs compared to the wide range of other operating modes are rarely published. Most of the investigations mentioned in the introduction section have been focused using recuperated </w:t>
      </w:r>
      <w:proofErr w:type="spellStart"/>
      <w:r>
        <w:t>ORC</w:t>
      </w:r>
      <w:proofErr w:type="spellEnd"/>
      <w:r>
        <w:t xml:space="preserve"> configuration, this ignores the overall conversion efficiency advantages that can be gained by exploring different operating modes with appropriate working fluids. There is still a great deal to learn about improving the performance and bringing down the costs for BC units for automotive application. To address this, the paper discusses extensive analyses and comparisons among different BC working conditions using pure fluids. The closed loop, single expansion derivative of the traditional BC is conducted to obtain conclusions in theory, with the results providing directions for practical implementation of BC units. To detail the influence of turbine inlet pressure, temperature, and </w:t>
      </w:r>
      <w:proofErr w:type="spellStart"/>
      <w:r>
        <w:t>vapour</w:t>
      </w:r>
      <w:proofErr w:type="spellEnd"/>
      <w:r>
        <w:t xml:space="preserve"> fraction on the BC performance and system, simulations were conducted at </w:t>
      </w:r>
      <w:proofErr w:type="spellStart"/>
      <w:r>
        <w:t>C100</w:t>
      </w:r>
      <w:proofErr w:type="spellEnd"/>
      <w:r>
        <w:t xml:space="preserve"> quality and quantity values for the </w:t>
      </w:r>
      <w:proofErr w:type="spellStart"/>
      <w:r>
        <w:t>EGR</w:t>
      </w:r>
      <w:proofErr w:type="spellEnd"/>
      <w:r>
        <w:t xml:space="preserve"> only engine with the above seven fluids using Aspen </w:t>
      </w:r>
      <w:proofErr w:type="spellStart"/>
      <w:r>
        <w:t>HYSYS</w:t>
      </w:r>
      <w:proofErr w:type="spellEnd"/>
      <w:r>
        <w:t xml:space="preserve"> </w:t>
      </w:r>
      <w:proofErr w:type="spellStart"/>
      <w:r>
        <w:t>V7.3</w:t>
      </w:r>
      <w:proofErr w:type="spellEnd"/>
      <w:r>
        <w:t xml:space="preserve"> software package </w:t>
      </w:r>
      <w:r>
        <w:rPr>
          <w:noProof/>
        </w:rPr>
        <w:t>[21]</w:t>
      </w:r>
      <w:r>
        <w:t>. The boundary conditions and assumptions used for BC simulations are detailed in table 2.</w:t>
      </w:r>
    </w:p>
    <w:p w:rsidR="0051724E" w:rsidRDefault="0051724E" w:rsidP="0051724E">
      <w:pPr>
        <w:jc w:val="both"/>
      </w:pPr>
      <w:r w:rsidRPr="001806C0">
        <w:t xml:space="preserve">BC parameters present a multi-dimensional surface on which an optimum condition can be found within prescribed constraints. The work described in this paper uses overall </w:t>
      </w:r>
      <w:r w:rsidRPr="001806C0">
        <w:lastRenderedPageBreak/>
        <w:t xml:space="preserve">conversion efficiency (product of thermal and heat recovery) as the objective function. </w:t>
      </w:r>
      <w:r w:rsidRPr="00C84324">
        <w:t xml:space="preserve"> The main objective of this study is focused on </w:t>
      </w:r>
      <w:proofErr w:type="spellStart"/>
      <w:r w:rsidRPr="00C84324">
        <w:t>optimisation</w:t>
      </w:r>
      <w:proofErr w:type="spellEnd"/>
      <w:r w:rsidRPr="00C84324">
        <w:t xml:space="preserve"> of turbine/expander inlet conditions to find the combination of working fluid and cycle operating condition that could show the best performance and system (size and cost) trade-off to achieve a better integration with</w:t>
      </w:r>
      <w:r>
        <w:t>in</w:t>
      </w:r>
      <w:r w:rsidRPr="00C84324">
        <w:t xml:space="preserve"> a </w:t>
      </w:r>
      <w:proofErr w:type="spellStart"/>
      <w:r w:rsidRPr="00C84324">
        <w:t>HDDE</w:t>
      </w:r>
      <w:proofErr w:type="spellEnd"/>
      <w:r>
        <w:t>.</w:t>
      </w:r>
    </w:p>
    <w:p w:rsidR="0051724E" w:rsidRDefault="0051724E" w:rsidP="0051724E">
      <w:pPr>
        <w:pStyle w:val="NoSpacing"/>
        <w:shd w:val="clear" w:color="000000" w:fill="auto"/>
        <w:jc w:val="center"/>
        <w:rPr>
          <w:rFonts w:ascii="Times New Roman" w:hAnsi="Times New Roman" w:cs="Times New Roman"/>
          <w:b/>
          <w:i/>
          <w:sz w:val="20"/>
          <w:szCs w:val="24"/>
        </w:rPr>
      </w:pPr>
      <w:r w:rsidRPr="00770386">
        <w:rPr>
          <w:rFonts w:ascii="Times New Roman" w:hAnsi="Times New Roman" w:cs="Times New Roman"/>
          <w:b/>
          <w:i/>
          <w:sz w:val="20"/>
          <w:szCs w:val="24"/>
        </w:rPr>
        <w:t>Table 2 BC equipment performance and boundary conditions used for simulations.</w:t>
      </w:r>
    </w:p>
    <w:p w:rsidR="0051724E" w:rsidRDefault="0051724E" w:rsidP="0051724E">
      <w:pPr>
        <w:pStyle w:val="NoSpacing"/>
        <w:shd w:val="clear" w:color="000000" w:fill="auto"/>
        <w:jc w:val="center"/>
        <w:rPr>
          <w:rFonts w:ascii="Times New Roman" w:hAnsi="Times New Roman" w:cs="Times New Roman"/>
          <w:b/>
          <w:i/>
          <w:sz w:val="20"/>
          <w:szCs w:val="24"/>
        </w:rPr>
      </w:pPr>
      <w:r>
        <w:rPr>
          <w:rFonts w:ascii="Times New Roman" w:hAnsi="Times New Roman" w:cs="Times New Roman"/>
          <w:b/>
          <w:i/>
          <w:noProof/>
          <w:sz w:val="20"/>
          <w:szCs w:val="24"/>
          <w:lang w:eastAsia="en-GB"/>
        </w:rPr>
        <w:drawing>
          <wp:inline distT="0" distB="0" distL="0" distR="0" wp14:anchorId="7EF1AA99" wp14:editId="182A9EC7">
            <wp:extent cx="3176270" cy="12007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6270" cy="1200785"/>
                    </a:xfrm>
                    <a:prstGeom prst="rect">
                      <a:avLst/>
                    </a:prstGeom>
                    <a:noFill/>
                  </pic:spPr>
                </pic:pic>
              </a:graphicData>
            </a:graphic>
          </wp:inline>
        </w:drawing>
      </w:r>
    </w:p>
    <w:p w:rsidR="0051724E" w:rsidRDefault="0051724E" w:rsidP="0051724E">
      <w:pPr>
        <w:pStyle w:val="NoSpacing"/>
        <w:shd w:val="clear" w:color="000000" w:fill="auto"/>
        <w:rPr>
          <w:rFonts w:ascii="Times New Roman" w:hAnsi="Times New Roman" w:cs="Times New Roman"/>
          <w:sz w:val="24"/>
          <w:szCs w:val="24"/>
        </w:rPr>
      </w:pPr>
    </w:p>
    <w:p w:rsidR="0051724E" w:rsidRDefault="0051724E" w:rsidP="0051724E">
      <w:r w:rsidRPr="00C84324">
        <w:rPr>
          <w:b/>
          <w:caps/>
          <w:sz w:val="28"/>
          <w:szCs w:val="28"/>
          <w:u w:val="single"/>
        </w:rPr>
        <w:t>Working fluids and cycle operating conditions</w:t>
      </w:r>
    </w:p>
    <w:p w:rsidR="0051724E" w:rsidRDefault="0051724E" w:rsidP="0051724E">
      <w:pPr>
        <w:jc w:val="both"/>
      </w:pPr>
      <w:r w:rsidRPr="00C84324">
        <w:t>The thermodynamic properties of a fluid are interrelated and largely dependent on critical point properties, normal boiling point, molecular makeup and structure</w:t>
      </w:r>
      <w:r>
        <w:t xml:space="preserve"> </w:t>
      </w:r>
      <w:r>
        <w:rPr>
          <w:noProof/>
        </w:rPr>
        <w:t>[22]</w:t>
      </w:r>
      <w:r w:rsidRPr="00C84324">
        <w:t xml:space="preserve">. Table 3 covers thirteen necessary properties of the seven fluids used in this study. Within organic fluids it is observed that the ratio of normal boiling point at atmospheric pressure to critical temperature (i.e. reduced temperature) is in the range of 0.6-0.7. They show an approximate </w:t>
      </w:r>
      <w:proofErr w:type="spellStart"/>
      <w:r w:rsidRPr="00C84324">
        <w:t>behaviour</w:t>
      </w:r>
      <w:proofErr w:type="spellEnd"/>
      <w:r w:rsidRPr="00C84324">
        <w:t xml:space="preserve"> between the reduced </w:t>
      </w:r>
      <w:proofErr w:type="spellStart"/>
      <w:r w:rsidRPr="00C84324">
        <w:t>vapour</w:t>
      </w:r>
      <w:proofErr w:type="spellEnd"/>
      <w:r w:rsidRPr="00C84324">
        <w:t xml:space="preserve"> pressure and the corresponding reduced saturation temperature i.e., organic fluids with a lower boiling points have a higher </w:t>
      </w:r>
      <w:proofErr w:type="spellStart"/>
      <w:r w:rsidRPr="00C84324">
        <w:t>vapour</w:t>
      </w:r>
      <w:proofErr w:type="spellEnd"/>
      <w:r w:rsidRPr="00C84324">
        <w:t xml:space="preserve"> pressure at normal condensing temperatures and vice versa.</w:t>
      </w:r>
      <w:r>
        <w:t xml:space="preserve"> </w:t>
      </w:r>
      <w:r w:rsidRPr="00184E4F">
        <w:t xml:space="preserve">A significant variable that affects the fluid applicability and the arrangement of associated equipment is its saturation </w:t>
      </w:r>
      <w:proofErr w:type="spellStart"/>
      <w:r w:rsidRPr="00184E4F">
        <w:t>vapour</w:t>
      </w:r>
      <w:proofErr w:type="spellEnd"/>
      <w:r w:rsidRPr="00184E4F">
        <w:t xml:space="preserve"> curve. Figure </w:t>
      </w:r>
      <w:proofErr w:type="spellStart"/>
      <w:r w:rsidRPr="00184E4F">
        <w:t>1a</w:t>
      </w:r>
      <w:proofErr w:type="spellEnd"/>
      <w:r w:rsidRPr="00184E4F">
        <w:t xml:space="preserve"> and </w:t>
      </w:r>
      <w:proofErr w:type="spellStart"/>
      <w:r w:rsidRPr="00184E4F">
        <w:t>1b</w:t>
      </w:r>
      <w:proofErr w:type="spellEnd"/>
      <w:r w:rsidRPr="00184E4F">
        <w:t xml:space="preserve"> show the temperature-entropy diagram of the fluids used by other authors and the fluids proposed in this study, respectively. The saturated </w:t>
      </w:r>
      <w:proofErr w:type="spellStart"/>
      <w:r w:rsidRPr="00184E4F">
        <w:t>vapour</w:t>
      </w:r>
      <w:proofErr w:type="spellEnd"/>
      <w:r w:rsidRPr="00184E4F">
        <w:t xml:space="preserve"> curve is shown to be roughly dependent on molecular weight or molecular </w:t>
      </w:r>
    </w:p>
    <w:p w:rsidR="0051724E" w:rsidRDefault="0051724E" w:rsidP="0051724E">
      <w:pPr>
        <w:jc w:val="both"/>
        <w:sectPr w:rsidR="0051724E" w:rsidSect="00C84324">
          <w:type w:val="continuous"/>
          <w:pgSz w:w="12240" w:h="15840"/>
          <w:pgMar w:top="720" w:right="720" w:bottom="720" w:left="720" w:header="720" w:footer="720" w:gutter="0"/>
          <w:cols w:num="2" w:space="720"/>
          <w:docGrid w:linePitch="360"/>
        </w:sectPr>
      </w:pPr>
    </w:p>
    <w:p w:rsidR="0051724E" w:rsidRPr="00184E4F" w:rsidRDefault="0051724E" w:rsidP="0051724E">
      <w:pPr>
        <w:shd w:val="clear" w:color="000000" w:fill="auto"/>
        <w:spacing w:after="0"/>
        <w:jc w:val="center"/>
        <w:rPr>
          <w:rFonts w:eastAsiaTheme="minorHAnsi"/>
          <w:sz w:val="24"/>
          <w:lang w:val="en-GB"/>
        </w:rPr>
      </w:pPr>
      <w:r>
        <w:rPr>
          <w:rFonts w:eastAsiaTheme="minorHAnsi"/>
          <w:noProof/>
          <w:sz w:val="24"/>
          <w:lang w:val="en-GB" w:eastAsia="en-GB"/>
        </w:rPr>
        <w:lastRenderedPageBreak/>
        <w:drawing>
          <wp:inline distT="0" distB="0" distL="0" distR="0" wp14:anchorId="361A010D" wp14:editId="1EA71183">
            <wp:extent cx="6303645" cy="181038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645" cy="1810385"/>
                    </a:xfrm>
                    <a:prstGeom prst="rect">
                      <a:avLst/>
                    </a:prstGeom>
                    <a:noFill/>
                  </pic:spPr>
                </pic:pic>
              </a:graphicData>
            </a:graphic>
          </wp:inline>
        </w:drawing>
      </w:r>
    </w:p>
    <w:p w:rsidR="0051724E" w:rsidRPr="00346390" w:rsidRDefault="0051724E" w:rsidP="0051724E">
      <w:pPr>
        <w:pStyle w:val="Figure"/>
        <w:rPr>
          <w:rFonts w:eastAsiaTheme="minorHAnsi"/>
          <w:b/>
          <w:i/>
          <w:lang w:val="en-GB"/>
        </w:rPr>
      </w:pPr>
      <w:r w:rsidRPr="00346390">
        <w:rPr>
          <w:rFonts w:eastAsiaTheme="minorHAnsi"/>
          <w:b/>
          <w:i/>
          <w:lang w:val="en-GB"/>
        </w:rPr>
        <w:t>Figure 2 Twelve cycle operating modes using pure fluids for single expansion (a) subcritical operating modes (b) supercritical operating modes (c) operating modes specific to dry and isentropic fluids.</w:t>
      </w:r>
    </w:p>
    <w:p w:rsidR="0051724E" w:rsidRDefault="0051724E" w:rsidP="0051724E">
      <w:pPr>
        <w:sectPr w:rsidR="0051724E" w:rsidSect="00184E4F">
          <w:type w:val="continuous"/>
          <w:pgSz w:w="12240" w:h="15840"/>
          <w:pgMar w:top="720" w:right="720" w:bottom="720" w:left="720" w:header="720" w:footer="720" w:gutter="0"/>
          <w:cols w:space="720"/>
          <w:docGrid w:linePitch="360"/>
        </w:sectPr>
      </w:pPr>
    </w:p>
    <w:p w:rsidR="0051724E" w:rsidRPr="00184E4F" w:rsidRDefault="0051724E" w:rsidP="0051724E">
      <w:pPr>
        <w:shd w:val="clear" w:color="000000" w:fill="auto"/>
        <w:spacing w:after="0"/>
        <w:rPr>
          <w:rFonts w:eastAsiaTheme="minorHAnsi"/>
          <w:sz w:val="24"/>
          <w:lang w:val="en-GB"/>
        </w:rPr>
      </w:pPr>
      <w:r>
        <w:rPr>
          <w:rFonts w:eastAsiaTheme="minorHAnsi"/>
          <w:noProof/>
          <w:sz w:val="24"/>
          <w:lang w:val="en-GB" w:eastAsia="en-GB"/>
        </w:rPr>
        <w:lastRenderedPageBreak/>
        <w:drawing>
          <wp:inline distT="0" distB="0" distL="0" distR="0" wp14:anchorId="0A579480" wp14:editId="5CE8B808">
            <wp:extent cx="3152140" cy="1779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140" cy="1779905"/>
                    </a:xfrm>
                    <a:prstGeom prst="rect">
                      <a:avLst/>
                    </a:prstGeom>
                    <a:noFill/>
                  </pic:spPr>
                </pic:pic>
              </a:graphicData>
            </a:graphic>
          </wp:inline>
        </w:drawing>
      </w:r>
    </w:p>
    <w:p w:rsidR="0051724E" w:rsidRPr="00346390" w:rsidRDefault="0051724E" w:rsidP="0051724E">
      <w:pPr>
        <w:pStyle w:val="Figure"/>
        <w:rPr>
          <w:b/>
          <w:i/>
        </w:rPr>
      </w:pPr>
      <w:r w:rsidRPr="00346390">
        <w:rPr>
          <w:b/>
          <w:i/>
        </w:rPr>
        <w:t>Figure 1 Temperature-entropy diagram of the seven fluids, (a) mentioned in published automotive literature, (b) proposed alternatives used in this study.</w:t>
      </w:r>
    </w:p>
    <w:p w:rsidR="0051724E" w:rsidRDefault="0051724E" w:rsidP="0051724E">
      <w:pPr>
        <w:jc w:val="both"/>
      </w:pPr>
      <w:proofErr w:type="gramStart"/>
      <w:r w:rsidRPr="00184E4F">
        <w:t>complexity</w:t>
      </w:r>
      <w:proofErr w:type="gramEnd"/>
      <w:r w:rsidRPr="00184E4F">
        <w:t xml:space="preserve"> (number of atoms in the molecule) of the substance. With increase in the number of bonded atoms, the molar heat capacity, and consequently the slope of the saturation boundary has been shown to increase. With pressures slightly below critical pressure, the working fluids can be divided according to the slope of their </w:t>
      </w:r>
      <w:proofErr w:type="spellStart"/>
      <w:r w:rsidRPr="00184E4F">
        <w:t>vapour</w:t>
      </w:r>
      <w:proofErr w:type="spellEnd"/>
      <w:r w:rsidRPr="00184E4F">
        <w:t xml:space="preserve"> saturation curve (</w:t>
      </w:r>
      <w:proofErr w:type="spellStart"/>
      <w:r w:rsidRPr="00184E4F">
        <w:t>dT</w:t>
      </w:r>
      <w:proofErr w:type="spellEnd"/>
      <w:r w:rsidRPr="00184E4F">
        <w:t>/</w:t>
      </w:r>
      <w:proofErr w:type="spellStart"/>
      <w:r w:rsidRPr="00184E4F">
        <w:t>dS</w:t>
      </w:r>
      <w:proofErr w:type="spellEnd"/>
      <w:r w:rsidRPr="00184E4F">
        <w:t xml:space="preserve">). Fluids like water, ethanol and </w:t>
      </w:r>
      <w:proofErr w:type="spellStart"/>
      <w:r w:rsidRPr="00184E4F">
        <w:t>R30</w:t>
      </w:r>
      <w:proofErr w:type="spellEnd"/>
      <w:r w:rsidRPr="00184E4F">
        <w:t xml:space="preserve"> for which the entropy of the saturated </w:t>
      </w:r>
      <w:proofErr w:type="spellStart"/>
      <w:r w:rsidRPr="00184E4F">
        <w:t>vapour</w:t>
      </w:r>
      <w:proofErr w:type="spellEnd"/>
      <w:r w:rsidRPr="00184E4F">
        <w:t xml:space="preserve"> decreases with increasing temperatures are called wet fluids (</w:t>
      </w:r>
      <w:proofErr w:type="spellStart"/>
      <w:r w:rsidRPr="00184E4F">
        <w:t>dT</w:t>
      </w:r>
      <w:proofErr w:type="spellEnd"/>
      <w:r w:rsidRPr="00184E4F">
        <w:t>/</w:t>
      </w:r>
      <w:proofErr w:type="spellStart"/>
      <w:r w:rsidRPr="00184E4F">
        <w:t>dS</w:t>
      </w:r>
      <w:proofErr w:type="spellEnd"/>
      <w:r w:rsidRPr="00184E4F">
        <w:t xml:space="preserve">&lt;0). Wet fluids require superheating in order to avoid the formation of liquid droplets which may cause blade erosion at the turbine exit. Although, it is possible to expand dry saturated </w:t>
      </w:r>
      <w:proofErr w:type="spellStart"/>
      <w:r w:rsidRPr="00184E4F">
        <w:t>vapour</w:t>
      </w:r>
      <w:proofErr w:type="spellEnd"/>
      <w:r w:rsidRPr="00184E4F">
        <w:t xml:space="preserve"> using special materials for leading edges to allow some wetness (≈10%) at exit, this sacrifices the turbine efficiency. Fluids like </w:t>
      </w:r>
      <w:proofErr w:type="spellStart"/>
      <w:r w:rsidRPr="00184E4F">
        <w:t>R245fa</w:t>
      </w:r>
      <w:proofErr w:type="spellEnd"/>
      <w:r w:rsidRPr="00184E4F">
        <w:t xml:space="preserve"> (figure </w:t>
      </w:r>
      <w:proofErr w:type="spellStart"/>
      <w:r w:rsidRPr="00184E4F">
        <w:t>1a</w:t>
      </w:r>
      <w:proofErr w:type="spellEnd"/>
      <w:r w:rsidRPr="00184E4F">
        <w:t xml:space="preserve">) where the entropy of the saturated </w:t>
      </w:r>
      <w:proofErr w:type="spellStart"/>
      <w:r w:rsidRPr="00184E4F">
        <w:t>vapour</w:t>
      </w:r>
      <w:proofErr w:type="spellEnd"/>
      <w:r w:rsidRPr="00184E4F">
        <w:t xml:space="preserve"> increases with increasing temperature are called dry fluids (</w:t>
      </w:r>
      <w:proofErr w:type="spellStart"/>
      <w:r w:rsidRPr="00184E4F">
        <w:t>dT</w:t>
      </w:r>
      <w:proofErr w:type="spellEnd"/>
      <w:r w:rsidRPr="00184E4F">
        <w:t>/</w:t>
      </w:r>
      <w:proofErr w:type="spellStart"/>
      <w:r w:rsidRPr="00184E4F">
        <w:t>dS</w:t>
      </w:r>
      <w:proofErr w:type="spellEnd"/>
      <w:r w:rsidRPr="00184E4F">
        <w:t xml:space="preserve">&gt;0). During expansion, they do not condense since the degree of superheat increases as expansion takes place.  However, if the fluid is too dry, the expanded </w:t>
      </w:r>
      <w:proofErr w:type="spellStart"/>
      <w:r w:rsidRPr="00184E4F">
        <w:t>vapour</w:t>
      </w:r>
      <w:proofErr w:type="spellEnd"/>
      <w:r w:rsidRPr="00184E4F">
        <w:t xml:space="preserve"> will exit with substantial superheat, increasing the condenser load. An ideal fluid would be one that would neither require superheating (wet) or de-superheating (dry), as large heat exchanger surface area are required for </w:t>
      </w:r>
      <w:proofErr w:type="spellStart"/>
      <w:r w:rsidRPr="00184E4F">
        <w:t>vapour</w:t>
      </w:r>
      <w:proofErr w:type="spellEnd"/>
      <w:r w:rsidRPr="00184E4F">
        <w:t xml:space="preserve"> heat transfer. The third classification, organic molecules with 5-10 atoms, are called isentropic fluids, with near quasi-vertical </w:t>
      </w:r>
      <w:r w:rsidRPr="00184E4F">
        <w:lastRenderedPageBreak/>
        <w:t xml:space="preserve">saturated </w:t>
      </w:r>
      <w:proofErr w:type="spellStart"/>
      <w:r w:rsidRPr="00184E4F">
        <w:t>vapour</w:t>
      </w:r>
      <w:proofErr w:type="spellEnd"/>
      <w:r w:rsidRPr="00184E4F">
        <w:t xml:space="preserve"> curves (</w:t>
      </w:r>
      <w:proofErr w:type="spellStart"/>
      <w:r w:rsidRPr="00184E4F">
        <w:t>dT</w:t>
      </w:r>
      <w:proofErr w:type="spellEnd"/>
      <w:r w:rsidRPr="00184E4F">
        <w:t>/</w:t>
      </w:r>
      <w:proofErr w:type="spellStart"/>
      <w:r w:rsidRPr="00184E4F">
        <w:t>dS</w:t>
      </w:r>
      <w:proofErr w:type="spellEnd"/>
      <w:r w:rsidRPr="00184E4F">
        <w:t xml:space="preserve">≈ ∞) they includes fluids like acetone, </w:t>
      </w:r>
      <w:proofErr w:type="spellStart"/>
      <w:r w:rsidRPr="00184E4F">
        <w:t>R1130</w:t>
      </w:r>
      <w:proofErr w:type="spellEnd"/>
      <w:r w:rsidRPr="00184E4F">
        <w:t xml:space="preserve"> and ethyl iodide (figure </w:t>
      </w:r>
      <w:proofErr w:type="spellStart"/>
      <w:r w:rsidRPr="00184E4F">
        <w:t>1b</w:t>
      </w:r>
      <w:proofErr w:type="spellEnd"/>
      <w:r w:rsidRPr="00184E4F">
        <w:t>).</w:t>
      </w:r>
    </w:p>
    <w:p w:rsidR="0051724E" w:rsidRDefault="0051724E" w:rsidP="0051724E">
      <w:pPr>
        <w:jc w:val="both"/>
      </w:pPr>
      <w:r w:rsidRPr="00184E4F">
        <w:t xml:space="preserve">The expansion/power generation unit is a critical component of the BC hardware. The two widely proposed solutions for automotive application include either the use of a high speed turbine-generator unit for electrical output, or the use of a positive displacement expander coupled to the drive shaft for mechanical output. For a high speed turbine-generator unit various turbine technologies can be adapted from the stationary </w:t>
      </w:r>
      <w:proofErr w:type="spellStart"/>
      <w:r w:rsidRPr="00184E4F">
        <w:t>BCs</w:t>
      </w:r>
      <w:proofErr w:type="spellEnd"/>
      <w:r w:rsidRPr="00184E4F">
        <w:t xml:space="preserve">. These include: axial flow turbines, radial inflow turbines, radial outflow turbine, variable phase turbines </w:t>
      </w:r>
      <w:proofErr w:type="spellStart"/>
      <w:r w:rsidRPr="00184E4F">
        <w:t>etc</w:t>
      </w:r>
      <w:proofErr w:type="spellEnd"/>
      <w:r>
        <w:t xml:space="preserve"> </w:t>
      </w:r>
      <w:r>
        <w:rPr>
          <w:noProof/>
        </w:rPr>
        <w:t>[23]</w:t>
      </w:r>
      <w:r w:rsidRPr="00184E4F">
        <w:t xml:space="preserve">. For automotive </w:t>
      </w:r>
      <w:proofErr w:type="spellStart"/>
      <w:r w:rsidRPr="00184E4F">
        <w:t>WHR</w:t>
      </w:r>
      <w:proofErr w:type="spellEnd"/>
      <w:r w:rsidRPr="00184E4F">
        <w:t xml:space="preserve">, Cummins had selected a high speed (50,000 rpm) fixed-nozzle, axial inflow turbine generator with maximum working fluid temperature of </w:t>
      </w:r>
      <w:proofErr w:type="spellStart"/>
      <w:r w:rsidRPr="00184E4F">
        <w:t>260°C</w:t>
      </w:r>
      <w:proofErr w:type="spellEnd"/>
      <w:r>
        <w:t xml:space="preserve"> </w:t>
      </w:r>
      <w:r>
        <w:rPr>
          <w:noProof/>
        </w:rPr>
        <w:t>[1]</w:t>
      </w:r>
      <w:r w:rsidRPr="00184E4F">
        <w:t>. Positive displacement type expanders (scroll, screw, reciprocating etc.) have speeds roughly one order of magnitude less than those of turbines and permit some condensation during the expansion. For two-phase expansion, screw expanders have recently been proposed</w:t>
      </w:r>
      <w:r>
        <w:t xml:space="preserve"> </w:t>
      </w:r>
      <w:r>
        <w:rPr>
          <w:noProof/>
        </w:rPr>
        <w:t>[24]</w:t>
      </w:r>
      <w:r w:rsidRPr="00184E4F">
        <w:t xml:space="preserve">. However, scroll and screw expanders usually have expansion pressure ratios below 8:1. For </w:t>
      </w:r>
      <w:proofErr w:type="spellStart"/>
      <w:r w:rsidRPr="00184E4F">
        <w:t>HDDEs</w:t>
      </w:r>
      <w:proofErr w:type="spellEnd"/>
      <w:r w:rsidRPr="00184E4F">
        <w:t xml:space="preserve"> the reciprocating expander is being considered as a valid alternative as they work even at high expansion ratios. Th</w:t>
      </w:r>
      <w:r>
        <w:t>e</w:t>
      </w:r>
      <w:r w:rsidRPr="00184E4F">
        <w:t xml:space="preserve"> wide variety of turbine and positive displacement expanders along with high </w:t>
      </w:r>
      <w:proofErr w:type="spellStart"/>
      <w:r w:rsidRPr="00184E4F">
        <w:t>EGR</w:t>
      </w:r>
      <w:proofErr w:type="spellEnd"/>
      <w:r w:rsidRPr="00184E4F">
        <w:t xml:space="preserve"> temperatures has made it possible to </w:t>
      </w:r>
      <w:r>
        <w:t xml:space="preserve">consider the </w:t>
      </w:r>
      <w:r w:rsidRPr="00184E4F">
        <w:t xml:space="preserve">start the working fluid expansion from saturated </w:t>
      </w:r>
      <w:proofErr w:type="spellStart"/>
      <w:r w:rsidRPr="00184E4F">
        <w:t>vapour</w:t>
      </w:r>
      <w:proofErr w:type="spellEnd"/>
      <w:r w:rsidRPr="00184E4F">
        <w:t xml:space="preserve">, superheated </w:t>
      </w:r>
      <w:proofErr w:type="spellStart"/>
      <w:r w:rsidRPr="00184E4F">
        <w:t>vapour</w:t>
      </w:r>
      <w:proofErr w:type="spellEnd"/>
      <w:r w:rsidRPr="00184E4F">
        <w:t xml:space="preserve">, supercritical, and even saturated liquid or two phase mixtures. When considering turbine/expander inlet temperature, pressure, and </w:t>
      </w:r>
      <w:proofErr w:type="spellStart"/>
      <w:r w:rsidRPr="00184E4F">
        <w:t>vapour</w:t>
      </w:r>
      <w:proofErr w:type="spellEnd"/>
      <w:r w:rsidRPr="00184E4F">
        <w:t xml:space="preserve"> fraction a total of twelve BC operating conditions exists with pure dry, wet and isentropic fluids as detailed in figure </w:t>
      </w:r>
      <w:proofErr w:type="spellStart"/>
      <w:r w:rsidRPr="00184E4F">
        <w:t>2a</w:t>
      </w:r>
      <w:proofErr w:type="spellEnd"/>
      <w:r w:rsidRPr="00184E4F">
        <w:t xml:space="preserve">, </w:t>
      </w:r>
      <w:proofErr w:type="spellStart"/>
      <w:r w:rsidRPr="00184E4F">
        <w:t>2b</w:t>
      </w:r>
      <w:proofErr w:type="spellEnd"/>
      <w:r w:rsidRPr="00184E4F">
        <w:t xml:space="preserve"> and </w:t>
      </w:r>
      <w:proofErr w:type="spellStart"/>
      <w:r w:rsidRPr="00184E4F">
        <w:t>2c</w:t>
      </w:r>
      <w:proofErr w:type="spellEnd"/>
      <w:r w:rsidRPr="00184E4F">
        <w:t>.</w:t>
      </w:r>
    </w:p>
    <w:p w:rsidR="0051724E" w:rsidRPr="00AE6D1E" w:rsidRDefault="0051724E" w:rsidP="0051724E">
      <w:r w:rsidRPr="00F13BF2">
        <w:rPr>
          <w:b/>
          <w:caps/>
          <w:sz w:val="28"/>
          <w:szCs w:val="28"/>
          <w:u w:val="single"/>
        </w:rPr>
        <w:t xml:space="preserve">Results and discussion </w:t>
      </w:r>
    </w:p>
    <w:p w:rsidR="0051724E" w:rsidRPr="00313F81" w:rsidRDefault="0051724E" w:rsidP="0051724E">
      <w:pPr>
        <w:pStyle w:val="Head2"/>
        <w:rPr>
          <w:sz w:val="22"/>
        </w:rPr>
      </w:pPr>
      <w:r>
        <w:t>Dry s</w:t>
      </w:r>
      <w:r w:rsidRPr="00313F81">
        <w:t>aturated subcritical cycles</w:t>
      </w:r>
      <w:r w:rsidRPr="00313F81">
        <w:rPr>
          <w:sz w:val="22"/>
        </w:rPr>
        <w:t xml:space="preserve"> </w:t>
      </w:r>
    </w:p>
    <w:p w:rsidR="0051724E" w:rsidRDefault="0051724E" w:rsidP="0051724E">
      <w:pPr>
        <w:jc w:val="both"/>
      </w:pPr>
      <w:r w:rsidRPr="00F13BF2">
        <w:t xml:space="preserve">To examine the effect of turbine inlet parameters on BC performance, simulations were conducted for varying turbine inlet pressures and temperatures using the seven fluids. Figure </w:t>
      </w:r>
      <w:proofErr w:type="spellStart"/>
      <w:r w:rsidRPr="00F13BF2">
        <w:t>3a</w:t>
      </w:r>
      <w:proofErr w:type="spellEnd"/>
      <w:r w:rsidRPr="00F13BF2">
        <w:t xml:space="preserve"> shows the variation in the first law efficiency with increasing turbine inlet pressures for </w:t>
      </w:r>
      <w:proofErr w:type="spellStart"/>
      <w:r w:rsidRPr="00F13BF2">
        <w:t>EGR</w:t>
      </w:r>
      <w:proofErr w:type="spellEnd"/>
      <w:r w:rsidRPr="00F13BF2">
        <w:t xml:space="preserve"> </w:t>
      </w:r>
      <w:proofErr w:type="spellStart"/>
      <w:r w:rsidRPr="00F13BF2">
        <w:t>WHR</w:t>
      </w:r>
      <w:proofErr w:type="spellEnd"/>
      <w:r w:rsidRPr="00F13BF2">
        <w:t xml:space="preserve">. The cycle </w:t>
      </w:r>
      <w:r w:rsidRPr="00F13BF2">
        <w:lastRenderedPageBreak/>
        <w:t xml:space="preserve">operating conditions were that of saturated dry expansion for dry fluids (figure </w:t>
      </w:r>
      <w:proofErr w:type="spellStart"/>
      <w:r w:rsidRPr="00F13BF2">
        <w:t>2c</w:t>
      </w:r>
      <w:proofErr w:type="spellEnd"/>
      <w:r w:rsidRPr="00F13BF2">
        <w:t xml:space="preserve">) and minimum superheat expansion for wet fluids (figure </w:t>
      </w:r>
      <w:proofErr w:type="spellStart"/>
      <w:r w:rsidRPr="00F13BF2">
        <w:t>2a</w:t>
      </w:r>
      <w:proofErr w:type="spellEnd"/>
      <w:r w:rsidRPr="00F13BF2">
        <w:t xml:space="preserve">). Figure </w:t>
      </w:r>
      <w:proofErr w:type="spellStart"/>
      <w:r w:rsidRPr="00F13BF2">
        <w:t>3a</w:t>
      </w:r>
      <w:proofErr w:type="spellEnd"/>
      <w:r w:rsidRPr="00F13BF2">
        <w:t xml:space="preserve"> demonstrates that the first law efficiency increases with the increment in the turbine inlet pressure. The results are consistent for all the fluids, with fluids with a high boiling point being more efficient. This can be understood with reference to figure </w:t>
      </w:r>
      <w:proofErr w:type="spellStart"/>
      <w:r w:rsidRPr="00F13BF2">
        <w:t>4a</w:t>
      </w:r>
      <w:proofErr w:type="spellEnd"/>
      <w:r w:rsidRPr="00F13BF2">
        <w:t xml:space="preserve"> which refers to ethyl iodide, where by increasing the evaporator pressure from 20 </w:t>
      </w:r>
      <w:proofErr w:type="gramStart"/>
      <w:r w:rsidRPr="00F13BF2">
        <w:t>bar</w:t>
      </w:r>
      <w:proofErr w:type="gramEnd"/>
      <w:r w:rsidRPr="00F13BF2">
        <w:t xml:space="preserve"> to 45 bar, the temperature difference between the working fluid and the </w:t>
      </w:r>
      <w:proofErr w:type="spellStart"/>
      <w:r w:rsidRPr="00F13BF2">
        <w:t>EGR</w:t>
      </w:r>
      <w:proofErr w:type="spellEnd"/>
      <w:r w:rsidRPr="00F13BF2">
        <w:t xml:space="preserve"> stream reduces. This results in greater cycle area and hence improved efficiencies. Also, from figure </w:t>
      </w:r>
      <w:proofErr w:type="spellStart"/>
      <w:r w:rsidRPr="00F13BF2">
        <w:t>3a</w:t>
      </w:r>
      <w:proofErr w:type="spellEnd"/>
      <w:r w:rsidRPr="00F13BF2">
        <w:t xml:space="preserve">, it can be seen that the rate of efficiency improvement reduces with the increasing </w:t>
      </w:r>
      <w:r>
        <w:t xml:space="preserve">maximum </w:t>
      </w:r>
      <w:r w:rsidRPr="00F13BF2">
        <w:t>pressure</w:t>
      </w:r>
      <w:r>
        <w:t>.</w:t>
      </w:r>
      <w:r w:rsidRPr="00F13BF2">
        <w:t xml:space="preserve"> </w:t>
      </w:r>
      <w:r>
        <w:t>W</w:t>
      </w:r>
      <w:r w:rsidRPr="00F13BF2">
        <w:t>orking fluids show maximum values while approaching their respective critical point conditions (given in table 2).</w:t>
      </w:r>
    </w:p>
    <w:p w:rsidR="0051724E" w:rsidRPr="00F13BF2"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66E8FA53" wp14:editId="12D81FD1">
            <wp:extent cx="3096895" cy="2529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6895" cy="2529840"/>
                    </a:xfrm>
                    <a:prstGeom prst="rect">
                      <a:avLst/>
                    </a:prstGeom>
                    <a:noFill/>
                  </pic:spPr>
                </pic:pic>
              </a:graphicData>
            </a:graphic>
          </wp:inline>
        </w:drawing>
      </w:r>
    </w:p>
    <w:p w:rsidR="0051724E" w:rsidRPr="00C854C6" w:rsidRDefault="0051724E" w:rsidP="0051724E">
      <w:pPr>
        <w:pStyle w:val="Figure"/>
        <w:rPr>
          <w:rFonts w:eastAsiaTheme="minorHAnsi"/>
          <w:b/>
          <w:i/>
          <w:lang w:val="en-GB"/>
        </w:rPr>
      </w:pPr>
      <w:r w:rsidRPr="00C854C6">
        <w:rPr>
          <w:rFonts w:eastAsiaTheme="minorHAnsi"/>
          <w:b/>
          <w:i/>
          <w:lang w:val="en-GB"/>
        </w:rPr>
        <w:t>Figure 3 Effect of turbine inlet pressure on, (a) first law efficiency, (b) net power output.</w:t>
      </w:r>
    </w:p>
    <w:p w:rsidR="0051724E" w:rsidRPr="00F13BF2"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08494A5A" wp14:editId="7EB625B9">
            <wp:extent cx="3182620" cy="18230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620" cy="1823085"/>
                    </a:xfrm>
                    <a:prstGeom prst="rect">
                      <a:avLst/>
                    </a:prstGeom>
                    <a:noFill/>
                  </pic:spPr>
                </pic:pic>
              </a:graphicData>
            </a:graphic>
          </wp:inline>
        </w:drawing>
      </w:r>
    </w:p>
    <w:p w:rsidR="0051724E" w:rsidRPr="00C854C6" w:rsidRDefault="0051724E" w:rsidP="0051724E">
      <w:pPr>
        <w:pStyle w:val="Figure"/>
        <w:rPr>
          <w:rFonts w:eastAsiaTheme="minorHAnsi"/>
          <w:b/>
          <w:i/>
          <w:lang w:val="en-GB"/>
        </w:rPr>
      </w:pPr>
      <w:r w:rsidRPr="00C854C6">
        <w:rPr>
          <w:rFonts w:eastAsiaTheme="minorHAnsi"/>
          <w:b/>
          <w:i/>
          <w:lang w:val="en-GB"/>
        </w:rPr>
        <w:t xml:space="preserve">Figure 4 (a) Ethyl iodide and </w:t>
      </w:r>
      <w:proofErr w:type="spellStart"/>
      <w:r w:rsidRPr="00C854C6">
        <w:rPr>
          <w:rFonts w:eastAsiaTheme="minorHAnsi"/>
          <w:b/>
          <w:i/>
          <w:lang w:val="en-GB"/>
        </w:rPr>
        <w:t>EGR</w:t>
      </w:r>
      <w:proofErr w:type="spellEnd"/>
      <w:r w:rsidRPr="00C854C6">
        <w:rPr>
          <w:rFonts w:eastAsiaTheme="minorHAnsi"/>
          <w:b/>
          <w:i/>
          <w:lang w:val="en-GB"/>
        </w:rPr>
        <w:t xml:space="preserve"> stream thermal matches with subcritical and supercritical pressures, (b) Influence of working fluid latent heat on first law efficiency.</w:t>
      </w:r>
    </w:p>
    <w:p w:rsidR="0051724E" w:rsidRDefault="0051724E" w:rsidP="0051724E">
      <w:pPr>
        <w:jc w:val="both"/>
      </w:pPr>
      <w:r>
        <w:t xml:space="preserve">From figure </w:t>
      </w:r>
      <w:proofErr w:type="spellStart"/>
      <w:r>
        <w:t>3a</w:t>
      </w:r>
      <w:proofErr w:type="spellEnd"/>
      <w:r>
        <w:t xml:space="preserve"> it can be seen that water provides the highest first law efficiency of 24.5%. This is due to water’s large latent heat and its influence is illustrated in figure </w:t>
      </w:r>
      <w:proofErr w:type="spellStart"/>
      <w:r>
        <w:t>4b</w:t>
      </w:r>
      <w:proofErr w:type="spellEnd"/>
      <w:r>
        <w:t xml:space="preserve">, which shows water and ethyl iodide, with evaporator and condenser temperature of 200 and </w:t>
      </w:r>
      <w:proofErr w:type="spellStart"/>
      <w:r>
        <w:t>65°C</w:t>
      </w:r>
      <w:proofErr w:type="spellEnd"/>
      <w:r>
        <w:t xml:space="preserve">, respectively. The length of the </w:t>
      </w:r>
      <w:r>
        <w:lastRenderedPageBreak/>
        <w:t xml:space="preserve">horizontal line segment at </w:t>
      </w:r>
      <w:proofErr w:type="spellStart"/>
      <w:r>
        <w:t>200°C</w:t>
      </w:r>
      <w:proofErr w:type="spellEnd"/>
      <w:r>
        <w:t xml:space="preserve"> is proportional to the latent heat of the working fluids. Under similar temperature limits in the evaporator and the condenser, water with larger latent heat will produce greater unit work output as the area formed by the cycle which indicates the turbine output will be larger. Hence, for defined temperature limits, working fluids with high latent heat will give higher net power output per unit heat absorbed.</w:t>
      </w:r>
    </w:p>
    <w:p w:rsidR="0051724E" w:rsidRDefault="0051724E" w:rsidP="0051724E">
      <w:pPr>
        <w:jc w:val="both"/>
      </w:pPr>
      <w:r>
        <w:t>Working fluids like water with low molecular weight (18 g/</w:t>
      </w:r>
      <w:proofErr w:type="spellStart"/>
      <w:r>
        <w:t>mol</w:t>
      </w:r>
      <w:proofErr w:type="spellEnd"/>
      <w:r>
        <w:t xml:space="preserve">) have large enthalpy of </w:t>
      </w:r>
      <w:proofErr w:type="spellStart"/>
      <w:r>
        <w:t>vaporisation</w:t>
      </w:r>
      <w:proofErr w:type="spellEnd"/>
      <w:r>
        <w:t xml:space="preserve">, and hence, high specific enthalpy in </w:t>
      </w:r>
      <w:proofErr w:type="spellStart"/>
      <w:r>
        <w:t>vapour</w:t>
      </w:r>
      <w:proofErr w:type="spellEnd"/>
      <w:r>
        <w:t xml:space="preserve"> state. This high specific energy of steam implies that the pump power consumed in </w:t>
      </w:r>
      <w:proofErr w:type="spellStart"/>
      <w:r>
        <w:t>pressurising</w:t>
      </w:r>
      <w:proofErr w:type="spellEnd"/>
      <w:r>
        <w:t xml:space="preserve"> the working fluid is one order of magnitude less than other fluids (figure </w:t>
      </w:r>
      <w:proofErr w:type="spellStart"/>
      <w:r>
        <w:t>5a</w:t>
      </w:r>
      <w:proofErr w:type="spellEnd"/>
      <w:r>
        <w:t xml:space="preserve">). As a consequence of this, the expansion of steam </w:t>
      </w:r>
      <w:proofErr w:type="spellStart"/>
      <w:r>
        <w:t>vapours</w:t>
      </w:r>
      <w:proofErr w:type="spellEnd"/>
      <w:r>
        <w:t xml:space="preserve"> shows a one order of magnitude larger specific enthalpy drop (figure </w:t>
      </w:r>
      <w:proofErr w:type="spellStart"/>
      <w:r>
        <w:t>5b</w:t>
      </w:r>
      <w:proofErr w:type="spellEnd"/>
      <w:r>
        <w:t xml:space="preserve">). This results in higher velocities during expansion and around twice the turbine speed seen with other fluids, indicated by the speed of sound (figure </w:t>
      </w:r>
      <w:proofErr w:type="spellStart"/>
      <w:r>
        <w:t>5c</w:t>
      </w:r>
      <w:proofErr w:type="spellEnd"/>
      <w:r>
        <w:t>).</w:t>
      </w:r>
    </w:p>
    <w:p w:rsidR="0051724E" w:rsidRPr="00F13BF2"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2CD231E7" wp14:editId="16D142F6">
            <wp:extent cx="3157855" cy="36214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7855" cy="3621405"/>
                    </a:xfrm>
                    <a:prstGeom prst="rect">
                      <a:avLst/>
                    </a:prstGeom>
                    <a:noFill/>
                  </pic:spPr>
                </pic:pic>
              </a:graphicData>
            </a:graphic>
          </wp:inline>
        </w:drawing>
      </w:r>
    </w:p>
    <w:p w:rsidR="0051724E" w:rsidRPr="00343701" w:rsidRDefault="0051724E" w:rsidP="0051724E">
      <w:pPr>
        <w:pStyle w:val="Figure"/>
        <w:rPr>
          <w:rFonts w:eastAsiaTheme="minorHAnsi"/>
          <w:b/>
          <w:i/>
          <w:lang w:val="en-GB"/>
        </w:rPr>
      </w:pPr>
      <w:r w:rsidRPr="00343701">
        <w:rPr>
          <w:rFonts w:eastAsiaTheme="minorHAnsi"/>
          <w:b/>
          <w:i/>
          <w:lang w:val="en-GB"/>
        </w:rPr>
        <w:t>Figure 5 Calculated, (a) pump power consumption, (b) expansion enthalpy drop, (c) speed of sound, with increasing turbine inlet pressure.</w:t>
      </w:r>
    </w:p>
    <w:p w:rsidR="0051724E" w:rsidRDefault="0051724E" w:rsidP="0051724E">
      <w:pPr>
        <w:jc w:val="both"/>
      </w:pPr>
      <w:r>
        <w:t xml:space="preserve">The potential advantage of a working fluid for </w:t>
      </w:r>
      <w:proofErr w:type="spellStart"/>
      <w:r>
        <w:t>EGR</w:t>
      </w:r>
      <w:proofErr w:type="spellEnd"/>
      <w:r>
        <w:t xml:space="preserve"> </w:t>
      </w:r>
      <w:proofErr w:type="spellStart"/>
      <w:r>
        <w:t>WHR</w:t>
      </w:r>
      <w:proofErr w:type="spellEnd"/>
      <w:r>
        <w:t xml:space="preserve"> does not only depend on first law efficiency but also on the heat recovery efficiency and hence the overall conversion efficiency. Figure </w:t>
      </w:r>
      <w:proofErr w:type="spellStart"/>
      <w:r>
        <w:t>3b</w:t>
      </w:r>
      <w:proofErr w:type="spellEnd"/>
      <w:r>
        <w:t xml:space="preserve"> shows the net power produced using the seven considered working fluids. The maximum power produced was shown to be when using ethyl iodide (17.3 kW) for a 35 bar evaporator pressure. With the exception of ethyl iodide and </w:t>
      </w:r>
      <w:proofErr w:type="spellStart"/>
      <w:r>
        <w:t>R245fa</w:t>
      </w:r>
      <w:proofErr w:type="spellEnd"/>
      <w:r>
        <w:t xml:space="preserve">, all other working fluids at 35 bar evaporator pressure provide similar net power (15.2 kW). </w:t>
      </w:r>
    </w:p>
    <w:p w:rsidR="0051724E" w:rsidRDefault="0051724E" w:rsidP="0051724E">
      <w:pPr>
        <w:jc w:val="both"/>
      </w:pPr>
      <w:r>
        <w:lastRenderedPageBreak/>
        <w:t xml:space="preserve">Increasing the evaporator pressure for water from 35 </w:t>
      </w:r>
      <w:proofErr w:type="gramStart"/>
      <w:r>
        <w:t>bar</w:t>
      </w:r>
      <w:proofErr w:type="gramEnd"/>
      <w:r>
        <w:t xml:space="preserve"> to 65 bar increases the first law efficiency (from 22.4 to 24.5 %, figure </w:t>
      </w:r>
      <w:proofErr w:type="spellStart"/>
      <w:r>
        <w:t>3a</w:t>
      </w:r>
      <w:proofErr w:type="spellEnd"/>
      <w:r>
        <w:t xml:space="preserve">) but reduces the net power (from 15.1 to 14.4 kW, figure </w:t>
      </w:r>
      <w:proofErr w:type="spellStart"/>
      <w:r>
        <w:t>3b</w:t>
      </w:r>
      <w:proofErr w:type="spellEnd"/>
      <w:r>
        <w:t xml:space="preserve">). Due to water’s high latent heat, the largest portion of heat is needed to evaporate water. With increasing boiler pressure, less quantity but high quality heat is being exchanged in the </w:t>
      </w:r>
      <w:proofErr w:type="spellStart"/>
      <w:r>
        <w:t>EGR</w:t>
      </w:r>
      <w:proofErr w:type="spellEnd"/>
      <w:r>
        <w:t xml:space="preserve"> cooler. Hence, increasing the boiler pressure beyond 35 </w:t>
      </w:r>
      <w:proofErr w:type="gramStart"/>
      <w:r>
        <w:t>bar</w:t>
      </w:r>
      <w:proofErr w:type="gramEnd"/>
      <w:r>
        <w:t xml:space="preserve"> has a negative effect on the net power produced. For other working fluids greater net power is achieved above 35 </w:t>
      </w:r>
      <w:proofErr w:type="gramStart"/>
      <w:r>
        <w:t>bar</w:t>
      </w:r>
      <w:proofErr w:type="gramEnd"/>
      <w:r>
        <w:t xml:space="preserve">, nevertheless with a decreased cycle efficiency compared to water. This is due to the additional power being derived from a stream of steadily decreasing </w:t>
      </w:r>
      <w:proofErr w:type="spellStart"/>
      <w:r>
        <w:t>EGR</w:t>
      </w:r>
      <w:proofErr w:type="spellEnd"/>
      <w:r>
        <w:t xml:space="preserve"> temperature. Therefore, working fluids should be selected to provide lower cooled </w:t>
      </w:r>
      <w:proofErr w:type="spellStart"/>
      <w:r>
        <w:t>EGR</w:t>
      </w:r>
      <w:proofErr w:type="spellEnd"/>
      <w:r>
        <w:t xml:space="preserve"> temperatures, resulting in higher overall conversion efficiency and higher net power. </w:t>
      </w:r>
    </w:p>
    <w:p w:rsidR="0051724E" w:rsidRDefault="0051724E" w:rsidP="0051724E">
      <w:pPr>
        <w:jc w:val="both"/>
      </w:pPr>
      <w:r>
        <w:t xml:space="preserve">The above thermodynamic analysis must also be completed with some considerations regarding the size and costs of the BC unit. Two criteria used to evaluate the relative size and costs of these </w:t>
      </w:r>
      <w:proofErr w:type="spellStart"/>
      <w:r>
        <w:t>BCs</w:t>
      </w:r>
      <w:proofErr w:type="spellEnd"/>
      <w:r>
        <w:t xml:space="preserve"> are expansion Volume Flow Ratios (</w:t>
      </w:r>
      <w:proofErr w:type="spellStart"/>
      <w:r>
        <w:t>VFR</w:t>
      </w:r>
      <w:proofErr w:type="spellEnd"/>
      <w:r>
        <w:t xml:space="preserve">, figure </w:t>
      </w:r>
      <w:proofErr w:type="spellStart"/>
      <w:r>
        <w:t>6a</w:t>
      </w:r>
      <w:proofErr w:type="spellEnd"/>
      <w:r>
        <w:t xml:space="preserve">) and the ratio of average heat exchangers surface area to net power (UA/kW, figure </w:t>
      </w:r>
      <w:proofErr w:type="spellStart"/>
      <w:r>
        <w:t>6b</w:t>
      </w:r>
      <w:proofErr w:type="spellEnd"/>
      <w:r>
        <w:t xml:space="preserve">). A fluid with lower expansion </w:t>
      </w:r>
      <w:proofErr w:type="spellStart"/>
      <w:r>
        <w:t>VFR</w:t>
      </w:r>
      <w:proofErr w:type="spellEnd"/>
      <w:r>
        <w:t xml:space="preserve"> will result in a compact expansion machine, and when using turbines, will avoid supersonic flow problems. Lower </w:t>
      </w:r>
      <w:proofErr w:type="spellStart"/>
      <w:r>
        <w:t>VFR</w:t>
      </w:r>
      <w:proofErr w:type="spellEnd"/>
      <w:r>
        <w:t xml:space="preserve"> also implies higher super atmospheric condensing pressures with denser </w:t>
      </w:r>
      <w:proofErr w:type="spellStart"/>
      <w:r>
        <w:t>vapours</w:t>
      </w:r>
      <w:proofErr w:type="spellEnd"/>
      <w:r>
        <w:t xml:space="preserve">, reducing the system size. From figure </w:t>
      </w:r>
      <w:proofErr w:type="spellStart"/>
      <w:r>
        <w:t>3b</w:t>
      </w:r>
      <w:proofErr w:type="spellEnd"/>
      <w:r>
        <w:t xml:space="preserve"> and </w:t>
      </w:r>
      <w:proofErr w:type="spellStart"/>
      <w:r>
        <w:t>6a</w:t>
      </w:r>
      <w:proofErr w:type="spellEnd"/>
      <w:r>
        <w:t xml:space="preserve">, it is evident that </w:t>
      </w:r>
      <w:proofErr w:type="spellStart"/>
      <w:r>
        <w:t>R30</w:t>
      </w:r>
      <w:proofErr w:type="spellEnd"/>
      <w:r>
        <w:t xml:space="preserve"> provides a best combination of maximum net power and lowest </w:t>
      </w:r>
      <w:proofErr w:type="spellStart"/>
      <w:r>
        <w:t>VFR</w:t>
      </w:r>
      <w:proofErr w:type="spellEnd"/>
      <w:r>
        <w:t xml:space="preserve">. </w:t>
      </w:r>
    </w:p>
    <w:p w:rsidR="0051724E" w:rsidRPr="00CB5AD9"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75029B40" wp14:editId="000AD5D3">
            <wp:extent cx="3108960" cy="2176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8960" cy="2176145"/>
                    </a:xfrm>
                    <a:prstGeom prst="rect">
                      <a:avLst/>
                    </a:prstGeom>
                    <a:noFill/>
                  </pic:spPr>
                </pic:pic>
              </a:graphicData>
            </a:graphic>
          </wp:inline>
        </w:drawing>
      </w:r>
    </w:p>
    <w:p w:rsidR="0051724E" w:rsidRPr="00EE7A7C" w:rsidRDefault="0051724E" w:rsidP="0051724E">
      <w:pPr>
        <w:pStyle w:val="Figure"/>
        <w:rPr>
          <w:rFonts w:eastAsiaTheme="minorHAnsi"/>
          <w:b/>
          <w:i/>
          <w:lang w:val="en-GB"/>
        </w:rPr>
      </w:pPr>
      <w:r w:rsidRPr="00EE7A7C">
        <w:rPr>
          <w:rFonts w:eastAsiaTheme="minorHAnsi"/>
          <w:b/>
          <w:i/>
          <w:lang w:val="en-GB"/>
        </w:rPr>
        <w:t xml:space="preserve">Figure 6 Relative indicators for BC system (size and cost), (a) expansion volume flow ratios, (b) heat exchanger area / net power.   </w:t>
      </w:r>
    </w:p>
    <w:p w:rsidR="0051724E" w:rsidRDefault="0051724E" w:rsidP="0051724E">
      <w:pPr>
        <w:jc w:val="both"/>
      </w:pPr>
      <w:r>
        <w:t xml:space="preserve">When comparing </w:t>
      </w:r>
      <w:proofErr w:type="spellStart"/>
      <w:r>
        <w:t>R30</w:t>
      </w:r>
      <w:proofErr w:type="spellEnd"/>
      <w:r>
        <w:t xml:space="preserve"> with ethanol between 35 and 50 bar evaporating pressures, they both give similar net power (15.2-16.3 kW, figure </w:t>
      </w:r>
      <w:proofErr w:type="spellStart"/>
      <w:r>
        <w:t>3a</w:t>
      </w:r>
      <w:proofErr w:type="spellEnd"/>
      <w:r>
        <w:t xml:space="preserve">). However, </w:t>
      </w:r>
      <w:proofErr w:type="spellStart"/>
      <w:r>
        <w:t>R30</w:t>
      </w:r>
      <w:proofErr w:type="spellEnd"/>
      <w:r>
        <w:t xml:space="preserve"> gives lower pressure ratios (14.4:1-20.6:1 vs. 45.4:1-64.9:1) and volume flow ratios (13.7:1-20.2:1 vs. 44.6:1-66:1, figure </w:t>
      </w:r>
      <w:proofErr w:type="spellStart"/>
      <w:r>
        <w:t>6a</w:t>
      </w:r>
      <w:proofErr w:type="spellEnd"/>
      <w:r>
        <w:t>).</w:t>
      </w:r>
      <w:r w:rsidR="00EF745E">
        <w:t xml:space="preserve"> </w:t>
      </w:r>
      <w:r w:rsidR="00AB6717" w:rsidRPr="00AB6717">
        <w:t xml:space="preserve">This makes </w:t>
      </w:r>
      <w:proofErr w:type="spellStart"/>
      <w:r w:rsidR="00AB6717" w:rsidRPr="00AB6717">
        <w:t>R30</w:t>
      </w:r>
      <w:proofErr w:type="spellEnd"/>
      <w:r w:rsidR="00AB6717" w:rsidRPr="00AB6717">
        <w:t xml:space="preserve"> more suitable for piston expanders under the considered pressure limits</w:t>
      </w:r>
      <w:r>
        <w:t xml:space="preserve">. To estimate the relative </w:t>
      </w:r>
      <w:proofErr w:type="spellStart"/>
      <w:r>
        <w:t>EGR</w:t>
      </w:r>
      <w:proofErr w:type="spellEnd"/>
      <w:r>
        <w:t xml:space="preserve"> cooler and air condenser size the UA/kW values shown in figure </w:t>
      </w:r>
      <w:proofErr w:type="spellStart"/>
      <w:r>
        <w:t>6b</w:t>
      </w:r>
      <w:proofErr w:type="spellEnd"/>
      <w:r>
        <w:t xml:space="preserve"> can be used.  For a maximum cycle pressure of 40 bar all fluids show </w:t>
      </w:r>
      <w:r>
        <w:lastRenderedPageBreak/>
        <w:t xml:space="preserve">similar values, with the exception of water showing better and </w:t>
      </w:r>
      <w:proofErr w:type="spellStart"/>
      <w:r>
        <w:t>R245fa</w:t>
      </w:r>
      <w:proofErr w:type="spellEnd"/>
      <w:r>
        <w:t xml:space="preserve"> showing worse values.</w:t>
      </w:r>
    </w:p>
    <w:p w:rsidR="0051724E" w:rsidRDefault="0051724E" w:rsidP="0051724E">
      <w:pPr>
        <w:jc w:val="both"/>
      </w:pPr>
      <w:r w:rsidRPr="00CB5AD9">
        <w:t xml:space="preserve">It must be highlighted that system safety and risk control must be a primary concern when using fluids like ethanol. When the temperature of the </w:t>
      </w:r>
      <w:proofErr w:type="spellStart"/>
      <w:r w:rsidRPr="00CB5AD9">
        <w:t>EGR</w:t>
      </w:r>
      <w:proofErr w:type="spellEnd"/>
      <w:r w:rsidRPr="00CB5AD9">
        <w:t xml:space="preserve"> cooler surface in contact with ethanol is much higher, there is</w:t>
      </w:r>
      <w:r>
        <w:t xml:space="preserve"> a</w:t>
      </w:r>
      <w:r w:rsidRPr="00CB5AD9">
        <w:t xml:space="preserve"> risk of fire and/or explosion in the event of any rupture in the heat exchanger surface due to the much lower auto ignition temperature (given in table 3) compared to </w:t>
      </w:r>
      <w:proofErr w:type="spellStart"/>
      <w:r w:rsidRPr="00CB5AD9">
        <w:t>R30</w:t>
      </w:r>
      <w:proofErr w:type="spellEnd"/>
      <w:r w:rsidRPr="00CB5AD9">
        <w:t xml:space="preserve"> (363 vs. </w:t>
      </w:r>
      <w:proofErr w:type="spellStart"/>
      <w:r w:rsidRPr="00CB5AD9">
        <w:t>556°C</w:t>
      </w:r>
      <w:proofErr w:type="spellEnd"/>
      <w:r w:rsidRPr="00CB5AD9">
        <w:t xml:space="preserve">). The other proposed fluids, </w:t>
      </w:r>
      <w:proofErr w:type="spellStart"/>
      <w:r w:rsidRPr="00CB5AD9">
        <w:t>R1130</w:t>
      </w:r>
      <w:proofErr w:type="spellEnd"/>
      <w:r w:rsidRPr="00CB5AD9">
        <w:t xml:space="preserve"> and acetone also display higher auto ignition temperatures of 460 and </w:t>
      </w:r>
      <w:proofErr w:type="spellStart"/>
      <w:r w:rsidRPr="00CB5AD9">
        <w:t>465°C</w:t>
      </w:r>
      <w:proofErr w:type="spellEnd"/>
      <w:r w:rsidRPr="00CB5AD9">
        <w:t>, respectively.</w:t>
      </w:r>
    </w:p>
    <w:p w:rsidR="0051724E" w:rsidRDefault="0051724E" w:rsidP="0051724E">
      <w:pPr>
        <w:rPr>
          <w:b/>
          <w:sz w:val="28"/>
          <w:szCs w:val="28"/>
        </w:rPr>
      </w:pPr>
      <w:r w:rsidRPr="00CB5AD9">
        <w:rPr>
          <w:b/>
          <w:sz w:val="28"/>
          <w:szCs w:val="28"/>
        </w:rPr>
        <w:t>Subcritical superheated cycle</w:t>
      </w:r>
      <w:r>
        <w:rPr>
          <w:b/>
          <w:sz w:val="28"/>
          <w:szCs w:val="28"/>
        </w:rPr>
        <w:t>s</w:t>
      </w:r>
      <w:r w:rsidRPr="00CB5AD9">
        <w:rPr>
          <w:b/>
          <w:sz w:val="28"/>
          <w:szCs w:val="28"/>
        </w:rPr>
        <w:t xml:space="preserve"> </w:t>
      </w:r>
    </w:p>
    <w:p w:rsidR="0051724E" w:rsidRDefault="0051724E" w:rsidP="0051724E">
      <w:pPr>
        <w:jc w:val="both"/>
      </w:pPr>
      <w:r w:rsidRPr="00CB5AD9">
        <w:t xml:space="preserve">Due to the critical temperatures of the working fluids being much lower than the maximum </w:t>
      </w:r>
      <w:proofErr w:type="spellStart"/>
      <w:r w:rsidRPr="00CB5AD9">
        <w:t>EGR</w:t>
      </w:r>
      <w:proofErr w:type="spellEnd"/>
      <w:r w:rsidRPr="00CB5AD9">
        <w:t xml:space="preserve"> temperatures, superheating beyond what is required to prevent turbine damage can also be implemented (figure </w:t>
      </w:r>
      <w:proofErr w:type="spellStart"/>
      <w:r w:rsidRPr="00CB5AD9">
        <w:t>2a</w:t>
      </w:r>
      <w:proofErr w:type="spellEnd"/>
      <w:r w:rsidRPr="00CB5AD9">
        <w:t xml:space="preserve">, large superheat expansion). Figure </w:t>
      </w:r>
      <w:proofErr w:type="spellStart"/>
      <w:r w:rsidRPr="00CB5AD9">
        <w:t>7a</w:t>
      </w:r>
      <w:proofErr w:type="spellEnd"/>
      <w:r w:rsidRPr="00CB5AD9">
        <w:t xml:space="preserve"> shows the variation in first law efficiency with fixed evaporator pressure with increasing superheat. To generate this, the boiler pressure was fixed at 25 </w:t>
      </w:r>
      <w:proofErr w:type="gramStart"/>
      <w:r w:rsidRPr="00CB5AD9">
        <w:t>bar</w:t>
      </w:r>
      <w:proofErr w:type="gramEnd"/>
      <w:r w:rsidRPr="00CB5AD9">
        <w:t xml:space="preserve"> for water and </w:t>
      </w:r>
      <w:proofErr w:type="spellStart"/>
      <w:r w:rsidRPr="00CB5AD9">
        <w:t>R245fa</w:t>
      </w:r>
      <w:proofErr w:type="spellEnd"/>
      <w:r w:rsidRPr="00CB5AD9">
        <w:t xml:space="preserve">; 45 bar for ethyl iodide and acetone and; 50 bar for Ethanol, </w:t>
      </w:r>
      <w:proofErr w:type="spellStart"/>
      <w:r w:rsidRPr="00CB5AD9">
        <w:t>R1130</w:t>
      </w:r>
      <w:proofErr w:type="spellEnd"/>
      <w:r w:rsidRPr="00CB5AD9">
        <w:t xml:space="preserve"> and </w:t>
      </w:r>
      <w:proofErr w:type="spellStart"/>
      <w:r w:rsidRPr="00CB5AD9">
        <w:t>R30</w:t>
      </w:r>
      <w:proofErr w:type="spellEnd"/>
      <w:r w:rsidRPr="00CB5AD9">
        <w:t xml:space="preserve">. The heat flow in the </w:t>
      </w:r>
      <w:proofErr w:type="spellStart"/>
      <w:r w:rsidRPr="00CB5AD9">
        <w:t>superheater</w:t>
      </w:r>
      <w:proofErr w:type="spellEnd"/>
      <w:r w:rsidRPr="00CB5AD9">
        <w:t xml:space="preserve"> and hence the temperature range for each fluid used was less than </w:t>
      </w:r>
      <w:proofErr w:type="spellStart"/>
      <w:r w:rsidRPr="00CB5AD9">
        <w:t>100°C</w:t>
      </w:r>
      <w:proofErr w:type="spellEnd"/>
      <w:r w:rsidRPr="00CB5AD9">
        <w:t xml:space="preserve"> above the critical temperature. Figure </w:t>
      </w:r>
      <w:proofErr w:type="spellStart"/>
      <w:r w:rsidRPr="00CB5AD9">
        <w:t>7a</w:t>
      </w:r>
      <w:proofErr w:type="spellEnd"/>
      <w:r w:rsidRPr="00CB5AD9">
        <w:t xml:space="preserve"> illustrates that the thermal efficiency of the cycle slightly increases with increasing turbine inlet temperature for all fluids with the exception of </w:t>
      </w:r>
      <w:proofErr w:type="spellStart"/>
      <w:r w:rsidRPr="00CB5AD9">
        <w:t>R245fa</w:t>
      </w:r>
      <w:proofErr w:type="spellEnd"/>
      <w:r w:rsidRPr="00CB5AD9">
        <w:t xml:space="preserve">. </w:t>
      </w:r>
    </w:p>
    <w:p w:rsidR="0051724E" w:rsidRPr="006557EA" w:rsidRDefault="0051724E" w:rsidP="0051724E">
      <w:pPr>
        <w:jc w:val="center"/>
        <w:rPr>
          <w:rFonts w:eastAsiaTheme="minorHAnsi"/>
          <w:b/>
          <w:i/>
          <w:lang w:val="en-GB"/>
        </w:rPr>
      </w:pPr>
      <w:r>
        <w:rPr>
          <w:rFonts w:eastAsiaTheme="minorHAnsi"/>
          <w:b/>
          <w:i/>
          <w:noProof/>
          <w:lang w:val="en-GB" w:eastAsia="en-GB"/>
        </w:rPr>
        <w:drawing>
          <wp:inline distT="0" distB="0" distL="0" distR="0" wp14:anchorId="3AB99E99" wp14:editId="7E062E18">
            <wp:extent cx="3157855" cy="217614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7855" cy="2176145"/>
                    </a:xfrm>
                    <a:prstGeom prst="rect">
                      <a:avLst/>
                    </a:prstGeom>
                    <a:noFill/>
                  </pic:spPr>
                </pic:pic>
              </a:graphicData>
            </a:graphic>
          </wp:inline>
        </w:drawing>
      </w:r>
      <w:r w:rsidRPr="006557EA">
        <w:rPr>
          <w:rFonts w:eastAsiaTheme="minorHAnsi"/>
          <w:b/>
          <w:i/>
          <w:lang w:val="en-GB"/>
        </w:rPr>
        <w:t>Figure 7 Effect of superheating at fixed evaporator pressure on, (a) first law efficiency, (b) expansion power.</w:t>
      </w:r>
    </w:p>
    <w:p w:rsidR="0051724E" w:rsidRDefault="0051724E" w:rsidP="0051724E">
      <w:pPr>
        <w:jc w:val="both"/>
      </w:pPr>
      <w:r w:rsidRPr="00CB5AD9">
        <w:t xml:space="preserve">Comparing </w:t>
      </w:r>
      <w:proofErr w:type="spellStart"/>
      <w:r w:rsidRPr="00CB5AD9">
        <w:t>R30</w:t>
      </w:r>
      <w:proofErr w:type="spellEnd"/>
      <w:r w:rsidRPr="00CB5AD9">
        <w:t xml:space="preserve"> (a wet fluid) and </w:t>
      </w:r>
      <w:proofErr w:type="spellStart"/>
      <w:r w:rsidRPr="00CB5AD9">
        <w:t>R245fa</w:t>
      </w:r>
      <w:proofErr w:type="spellEnd"/>
      <w:r w:rsidRPr="00CB5AD9">
        <w:t xml:space="preserve"> (a dry fluid) with reduction in working fluid flow rate to facilitate an addition of 20 kW of heat in the </w:t>
      </w:r>
      <w:proofErr w:type="spellStart"/>
      <w:r w:rsidRPr="00CB5AD9">
        <w:t>superheater</w:t>
      </w:r>
      <w:proofErr w:type="spellEnd"/>
      <w:r w:rsidRPr="00CB5AD9">
        <w:t xml:space="preserve">. The first law efficiency (figure </w:t>
      </w:r>
      <w:proofErr w:type="spellStart"/>
      <w:r w:rsidRPr="00CB5AD9">
        <w:t>7a</w:t>
      </w:r>
      <w:proofErr w:type="spellEnd"/>
      <w:r w:rsidRPr="00CB5AD9">
        <w:t xml:space="preserve">) of </w:t>
      </w:r>
      <w:proofErr w:type="spellStart"/>
      <w:r w:rsidRPr="00CB5AD9">
        <w:t>R30</w:t>
      </w:r>
      <w:proofErr w:type="spellEnd"/>
      <w:r w:rsidRPr="00CB5AD9">
        <w:t xml:space="preserve"> will increase from 17.5 to 19.7 % from the reference minimum superheat cycle, whereas the efficiency will decrease from 7.9 to 7.7 % for </w:t>
      </w:r>
      <w:proofErr w:type="spellStart"/>
      <w:r w:rsidRPr="00CB5AD9">
        <w:t>R245fa</w:t>
      </w:r>
      <w:proofErr w:type="spellEnd"/>
      <w:r w:rsidRPr="00CB5AD9">
        <w:t xml:space="preserve">, from the reference saturated </w:t>
      </w:r>
      <w:proofErr w:type="spellStart"/>
      <w:r w:rsidR="00B214D7">
        <w:t>vapour</w:t>
      </w:r>
      <w:proofErr w:type="spellEnd"/>
      <w:r w:rsidR="00B214D7">
        <w:t xml:space="preserve"> </w:t>
      </w:r>
      <w:r w:rsidRPr="00CB5AD9">
        <w:t xml:space="preserve">cycle. This can be understood with figure </w:t>
      </w:r>
      <w:proofErr w:type="spellStart"/>
      <w:r w:rsidRPr="00CB5AD9">
        <w:t>8a</w:t>
      </w:r>
      <w:proofErr w:type="spellEnd"/>
      <w:r w:rsidRPr="00CB5AD9">
        <w:t xml:space="preserve">, where the rate at which the constant isobars lines diverge determines the impact of superheating on expansion power. For Dry fluids like </w:t>
      </w:r>
      <w:proofErr w:type="spellStart"/>
      <w:r w:rsidRPr="00CB5AD9">
        <w:t>R245fa</w:t>
      </w:r>
      <w:proofErr w:type="spellEnd"/>
      <w:r w:rsidRPr="00CB5AD9">
        <w:t xml:space="preserve"> the pressure lines converge in </w:t>
      </w:r>
      <w:r w:rsidRPr="00CB5AD9">
        <w:lastRenderedPageBreak/>
        <w:t xml:space="preserve">superheating zone, contrary to wet fluids where they diverge. Figure </w:t>
      </w:r>
      <w:proofErr w:type="spellStart"/>
      <w:r w:rsidRPr="00CB5AD9">
        <w:t>7b</w:t>
      </w:r>
      <w:proofErr w:type="spellEnd"/>
      <w:r w:rsidRPr="00CB5AD9">
        <w:t xml:space="preserve"> shows expansion power for </w:t>
      </w:r>
      <w:proofErr w:type="spellStart"/>
      <w:r w:rsidRPr="00CB5AD9">
        <w:t>R30</w:t>
      </w:r>
      <w:proofErr w:type="spellEnd"/>
      <w:r w:rsidRPr="00CB5AD9">
        <w:t xml:space="preserve"> and </w:t>
      </w:r>
      <w:proofErr w:type="spellStart"/>
      <w:r w:rsidRPr="00CB5AD9">
        <w:t>R245fa</w:t>
      </w:r>
      <w:proofErr w:type="spellEnd"/>
      <w:r w:rsidRPr="00CB5AD9">
        <w:t xml:space="preserve">. For </w:t>
      </w:r>
      <w:proofErr w:type="spellStart"/>
      <w:r w:rsidRPr="00CB5AD9">
        <w:t>R245fa</w:t>
      </w:r>
      <w:proofErr w:type="spellEnd"/>
      <w:r w:rsidRPr="00CB5AD9">
        <w:t>, superheating reduces the expander power (from 8.2 to 8 kW). Dry superheated cycles result in increased higher temperature de-superheating at the end of expansion</w:t>
      </w:r>
      <w:r>
        <w:t xml:space="preserve">, </w:t>
      </w:r>
      <w:r w:rsidRPr="00CB5AD9">
        <w:t xml:space="preserve">this reduces the </w:t>
      </w:r>
      <w:r>
        <w:t xml:space="preserve">thermal </w:t>
      </w:r>
      <w:r w:rsidRPr="00CB5AD9">
        <w:t xml:space="preserve">efficiency gains obtained from better temperature match with the </w:t>
      </w:r>
      <w:proofErr w:type="spellStart"/>
      <w:r w:rsidRPr="00CB5AD9">
        <w:t>EGR</w:t>
      </w:r>
      <w:proofErr w:type="spellEnd"/>
      <w:r w:rsidRPr="00CB5AD9">
        <w:t xml:space="preserve"> stream. Hence, figure </w:t>
      </w:r>
      <w:proofErr w:type="spellStart"/>
      <w:r w:rsidRPr="00CB5AD9">
        <w:t>7a</w:t>
      </w:r>
      <w:proofErr w:type="spellEnd"/>
      <w:r w:rsidRPr="00CB5AD9">
        <w:t xml:space="preserve"> and </w:t>
      </w:r>
      <w:proofErr w:type="spellStart"/>
      <w:r w:rsidRPr="00CB5AD9">
        <w:t>7b</w:t>
      </w:r>
      <w:proofErr w:type="spellEnd"/>
      <w:r w:rsidRPr="00CB5AD9">
        <w:t xml:space="preserve"> shows that the best case scenario is obtained when the dry fluids are operated at saturated conditions before the turbine, since this produces higher net power with higher thermal efficiencies than operating under superheated conditions.</w:t>
      </w:r>
    </w:p>
    <w:p w:rsidR="0051724E" w:rsidRPr="00CB5AD9"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4E234661" wp14:editId="3A4FD43A">
            <wp:extent cx="3139440" cy="18046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9440" cy="1804670"/>
                    </a:xfrm>
                    <a:prstGeom prst="rect">
                      <a:avLst/>
                    </a:prstGeom>
                    <a:noFill/>
                  </pic:spPr>
                </pic:pic>
              </a:graphicData>
            </a:graphic>
          </wp:inline>
        </w:drawing>
      </w:r>
    </w:p>
    <w:p w:rsidR="0051724E" w:rsidRPr="002B78AD" w:rsidRDefault="0051724E" w:rsidP="0051724E">
      <w:pPr>
        <w:pStyle w:val="Figure"/>
        <w:rPr>
          <w:rFonts w:eastAsiaTheme="minorHAnsi"/>
          <w:b/>
          <w:i/>
          <w:lang w:val="en-GB"/>
        </w:rPr>
      </w:pPr>
      <w:r w:rsidRPr="002B78AD">
        <w:rPr>
          <w:rFonts w:eastAsiaTheme="minorHAnsi"/>
          <w:b/>
          <w:i/>
          <w:lang w:val="en-GB"/>
        </w:rPr>
        <w:t xml:space="preserve">Figure 8 Effect of superheating on dry and wet fluids, (a) converging isobars of dry fluids in superheated region, (b) large de-superheating due to improved net power on wet fluids. </w:t>
      </w:r>
    </w:p>
    <w:p w:rsidR="0051724E" w:rsidRDefault="0051724E" w:rsidP="0051724E">
      <w:pPr>
        <w:jc w:val="both"/>
      </w:pPr>
      <w:r>
        <w:t xml:space="preserve">For wet fluids, superheat is mostly necessary to avoid blade erosions in conventional turbines. From figure </w:t>
      </w:r>
      <w:proofErr w:type="spellStart"/>
      <w:r>
        <w:t>7a</w:t>
      </w:r>
      <w:proofErr w:type="spellEnd"/>
      <w:r>
        <w:t xml:space="preserve"> and </w:t>
      </w:r>
      <w:proofErr w:type="spellStart"/>
      <w:r>
        <w:t>7b</w:t>
      </w:r>
      <w:proofErr w:type="spellEnd"/>
      <w:r>
        <w:t xml:space="preserve">, for optimum theoretical operation conditions, increasing the turbine inlet temperature increases the turbine power output and improves the thermal performance of BC for wet fluids like </w:t>
      </w:r>
      <w:proofErr w:type="spellStart"/>
      <w:r>
        <w:t>R30</w:t>
      </w:r>
      <w:proofErr w:type="spellEnd"/>
      <w:r>
        <w:t xml:space="preserve">. Figure </w:t>
      </w:r>
      <w:proofErr w:type="spellStart"/>
      <w:r>
        <w:t>8b</w:t>
      </w:r>
      <w:proofErr w:type="spellEnd"/>
      <w:r>
        <w:t xml:space="preserve"> shows </w:t>
      </w:r>
      <w:proofErr w:type="spellStart"/>
      <w:r>
        <w:t>R30</w:t>
      </w:r>
      <w:proofErr w:type="spellEnd"/>
      <w:r>
        <w:t xml:space="preserve"> with a boiler pressure of 35 </w:t>
      </w:r>
      <w:proofErr w:type="gramStart"/>
      <w:r>
        <w:t>bar</w:t>
      </w:r>
      <w:proofErr w:type="gramEnd"/>
      <w:r>
        <w:t xml:space="preserve"> and 20 kW of superheating (9 kW for dry expansion and additional 11 kW for superheating). This has the effect of increasing the expansion power from 17.7 kW to 18.7 kW (figure </w:t>
      </w:r>
      <w:proofErr w:type="spellStart"/>
      <w:r>
        <w:t>7b</w:t>
      </w:r>
      <w:proofErr w:type="spellEnd"/>
      <w:r>
        <w:t xml:space="preserve">). However, in reality the big superheating as shown in the diagram </w:t>
      </w:r>
      <w:proofErr w:type="spellStart"/>
      <w:r>
        <w:t>8b</w:t>
      </w:r>
      <w:proofErr w:type="spellEnd"/>
      <w:r>
        <w:t xml:space="preserve"> would not be practical from sizing considerations due to the high </w:t>
      </w:r>
      <w:proofErr w:type="spellStart"/>
      <w:r>
        <w:t>EGR</w:t>
      </w:r>
      <w:proofErr w:type="spellEnd"/>
      <w:r>
        <w:t xml:space="preserve"> cooler surface area needed because of the low thermal conductivity associated with the gaseous phase. Furthermore the de-superheating of the working fluid will also require a larger heat transfer surface than what would be required for condensing. From a cost/benefit ($/kW) consideration, the ability to operate with minimum superheat at the expander inlet with a reduction of only 6% in expansion power clearly improves the economic viability of the system. </w:t>
      </w:r>
    </w:p>
    <w:p w:rsidR="0051724E" w:rsidRDefault="0051724E" w:rsidP="0051724E">
      <w:pPr>
        <w:jc w:val="both"/>
      </w:pPr>
      <w:r>
        <w:t xml:space="preserve">A means to avoid de-superheating is to use a </w:t>
      </w:r>
      <w:proofErr w:type="spellStart"/>
      <w:r>
        <w:t>recuperator</w:t>
      </w:r>
      <w:proofErr w:type="spellEnd"/>
      <w:r>
        <w:t xml:space="preserve">. Recuperated cycles produce higher first law efficiency with a lower irreversibility due to higher average heat addition temperatures. Since the highest power output is not achieved with increasing the thermal efficiency, recuperated cycles do not improve the net power of the BC. Recuperated cycles also increase the cooled </w:t>
      </w:r>
      <w:proofErr w:type="spellStart"/>
      <w:r>
        <w:t>EGR</w:t>
      </w:r>
      <w:proofErr w:type="spellEnd"/>
      <w:r>
        <w:t xml:space="preserve"> temperatures, resulting in </w:t>
      </w:r>
      <w:proofErr w:type="spellStart"/>
      <w:r>
        <w:t>EGR</w:t>
      </w:r>
      <w:proofErr w:type="spellEnd"/>
      <w:r>
        <w:t xml:space="preserve"> enthalpy loss. For recuperative cycles, an additional low </w:t>
      </w:r>
      <w:r>
        <w:lastRenderedPageBreak/>
        <w:t xml:space="preserve">temperature </w:t>
      </w:r>
      <w:proofErr w:type="spellStart"/>
      <w:r>
        <w:t>EGR</w:t>
      </w:r>
      <w:proofErr w:type="spellEnd"/>
      <w:r>
        <w:t xml:space="preserve"> cooler is also needed. Other modifications that can increase thermal efficiency include turbine bleeding and reheat. However, none of these modifications increase the net shaft work. Finally, it may be noted that the capital cost, size and the overall complexity of the system will increase due to integration of such modifications for the same net power.</w:t>
      </w:r>
    </w:p>
    <w:p w:rsidR="0051724E" w:rsidRDefault="0051724E" w:rsidP="0051724E">
      <w:pPr>
        <w:rPr>
          <w:b/>
          <w:sz w:val="28"/>
          <w:szCs w:val="28"/>
        </w:rPr>
      </w:pPr>
      <w:r w:rsidRPr="00CB5AD9">
        <w:rPr>
          <w:b/>
          <w:sz w:val="28"/>
          <w:szCs w:val="28"/>
        </w:rPr>
        <w:t>Supercritical low temperature cycle</w:t>
      </w:r>
      <w:r>
        <w:rPr>
          <w:b/>
          <w:sz w:val="28"/>
          <w:szCs w:val="28"/>
        </w:rPr>
        <w:t>s</w:t>
      </w:r>
      <w:r w:rsidRPr="00CB5AD9">
        <w:rPr>
          <w:b/>
          <w:sz w:val="28"/>
          <w:szCs w:val="28"/>
        </w:rPr>
        <w:t xml:space="preserve"> </w:t>
      </w:r>
    </w:p>
    <w:p w:rsidR="0051724E" w:rsidRDefault="0051724E" w:rsidP="0051724E">
      <w:pPr>
        <w:jc w:val="both"/>
      </w:pPr>
      <w:r>
        <w:t xml:space="preserve">A limitation of a pure working fluid is the isothermal boiling when operating in subcritical mode. Figure </w:t>
      </w:r>
      <w:proofErr w:type="spellStart"/>
      <w:r>
        <w:t>4a</w:t>
      </w:r>
      <w:proofErr w:type="spellEnd"/>
      <w:r>
        <w:t xml:space="preserve"> shows the different thermal matches for ethyl iodide for subcritical (20 bar) and supercritical cycle (65 </w:t>
      </w:r>
      <w:proofErr w:type="gramStart"/>
      <w:r>
        <w:t>bar</w:t>
      </w:r>
      <w:proofErr w:type="gramEnd"/>
      <w:r>
        <w:t xml:space="preserve">). To reduce </w:t>
      </w:r>
      <w:proofErr w:type="spellStart"/>
      <w:r>
        <w:t>EGR</w:t>
      </w:r>
      <w:proofErr w:type="spellEnd"/>
      <w:r>
        <w:t xml:space="preserve"> cooler </w:t>
      </w:r>
      <w:proofErr w:type="spellStart"/>
      <w:r>
        <w:t>irreversibilities</w:t>
      </w:r>
      <w:proofErr w:type="spellEnd"/>
      <w:r>
        <w:t xml:space="preserve">, working fluids with low critical temperatures than </w:t>
      </w:r>
      <w:proofErr w:type="spellStart"/>
      <w:r>
        <w:t>EGR</w:t>
      </w:r>
      <w:proofErr w:type="spellEnd"/>
      <w:r>
        <w:t xml:space="preserve"> levels and pressures under 50 </w:t>
      </w:r>
      <w:proofErr w:type="gramStart"/>
      <w:r>
        <w:t>bar</w:t>
      </w:r>
      <w:proofErr w:type="gramEnd"/>
      <w:r>
        <w:t xml:space="preserve"> can be directly compressed and heated beyond their critical point. With the boundary conditions from table 2 limiting the maximum cycle pressure to 65 </w:t>
      </w:r>
      <w:proofErr w:type="gramStart"/>
      <w:r>
        <w:t>bar</w:t>
      </w:r>
      <w:proofErr w:type="gramEnd"/>
      <w:r>
        <w:t>, the reduced critical pressures of below 1.08 P</w:t>
      </w:r>
      <w:r w:rsidRPr="008D09A5">
        <w:rPr>
          <w:vertAlign w:val="subscript"/>
        </w:rPr>
        <w:t>c</w:t>
      </w:r>
      <w:r>
        <w:t xml:space="preserve"> may lead to instability of the supercritical BC system. As literature indicates optimal pressures of around 1.2 P</w:t>
      </w:r>
      <w:r w:rsidRPr="008D09A5">
        <w:rPr>
          <w:vertAlign w:val="subscript"/>
        </w:rPr>
        <w:t>c</w:t>
      </w:r>
      <w:r>
        <w:t xml:space="preserve"> for supercritical cycles </w:t>
      </w:r>
      <w:r>
        <w:rPr>
          <w:noProof/>
        </w:rPr>
        <w:t>[25]</w:t>
      </w:r>
      <w:r>
        <w:t xml:space="preserve">, the supercritical analysis was only conducted on </w:t>
      </w:r>
      <w:proofErr w:type="spellStart"/>
      <w:r>
        <w:t>R245fa</w:t>
      </w:r>
      <w:proofErr w:type="spellEnd"/>
      <w:r>
        <w:t xml:space="preserve">, ethyl iodide and acetone. For these fluids the supercritical pressures could be reached relatively easily compared to the other fluids considered in the study. </w:t>
      </w:r>
    </w:p>
    <w:p w:rsidR="0051724E" w:rsidRDefault="0051724E" w:rsidP="0051724E">
      <w:pPr>
        <w:jc w:val="both"/>
      </w:pPr>
      <w:r>
        <w:t xml:space="preserve">The operating mode of the supercritical cycle greatly influences the turbine performance and cycle arrangement </w:t>
      </w:r>
      <w:r>
        <w:rPr>
          <w:noProof/>
        </w:rPr>
        <w:t>[26]</w:t>
      </w:r>
      <w:r>
        <w:t xml:space="preserve">. In supercritical bi-phase wet expansion (figure </w:t>
      </w:r>
      <w:proofErr w:type="spellStart"/>
      <w:r>
        <w:t>2b</w:t>
      </w:r>
      <w:proofErr w:type="spellEnd"/>
      <w:r>
        <w:t xml:space="preserve">) the fluid first </w:t>
      </w:r>
      <w:proofErr w:type="spellStart"/>
      <w:r>
        <w:t>subcools</w:t>
      </w:r>
      <w:proofErr w:type="spellEnd"/>
      <w:r>
        <w:t xml:space="preserve"> and then nucleates to become a two-phase mixture. The formation and </w:t>
      </w:r>
      <w:proofErr w:type="spellStart"/>
      <w:r>
        <w:t>behaviour</w:t>
      </w:r>
      <w:proofErr w:type="spellEnd"/>
      <w:r>
        <w:t xml:space="preserve"> of the liquid in the turbine create problems that would lower the performance of the turbine. Hence, wet fluids need higher turbine inlet temperature (supercritical low temp. dry expansion, figure </w:t>
      </w:r>
      <w:proofErr w:type="spellStart"/>
      <w:r>
        <w:t>2b</w:t>
      </w:r>
      <w:proofErr w:type="spellEnd"/>
      <w:r>
        <w:t xml:space="preserve">) to avoid two-phase region, therefore providing less concern about de-superheating after the expansion. If supercritical bi-phase dry expansion (figure </w:t>
      </w:r>
      <w:proofErr w:type="spellStart"/>
      <w:r>
        <w:t>2c</w:t>
      </w:r>
      <w:proofErr w:type="spellEnd"/>
      <w:r>
        <w:t xml:space="preserve">) is carried out for dry fluids to avoid the two-phase region, the fluid may leave the turbine with substantial amount of superheat, adding condensation load. This can be avoided by the use of supercritical bi-phase saturated expansion (figure </w:t>
      </w:r>
      <w:proofErr w:type="spellStart"/>
      <w:r>
        <w:t>2c</w:t>
      </w:r>
      <w:proofErr w:type="spellEnd"/>
      <w:r>
        <w:t>). Under such expansion conditions it is observed that only extremely fine droplets (fog) will form in the two-phase region and without any liquid that may damage the turbine before it starts drying during the expansion. Hence, the investigation of supercritical fluid parameters in a supercritical bi-phase saturated expansion cycle was conducted to determine whether it leads to a more suitable cycle operating condition.</w:t>
      </w:r>
    </w:p>
    <w:p w:rsidR="0051724E" w:rsidRDefault="0051724E" w:rsidP="0051724E">
      <w:pPr>
        <w:jc w:val="both"/>
      </w:pPr>
      <w:r>
        <w:t>Figure 9 shows the net power for the subcritical and supercritical cycle results. Considering the the two proposed fluids, ethyl iodide and acetone, it can be noticed that the peak net power is not reached at a critical operating condition, but at values around 0.9-0.95 P</w:t>
      </w:r>
      <w:r w:rsidRPr="008D09A5">
        <w:rPr>
          <w:vertAlign w:val="subscript"/>
        </w:rPr>
        <w:t>c</w:t>
      </w:r>
      <w:r>
        <w:t xml:space="preserve">. This can be better understood with figure </w:t>
      </w:r>
      <w:proofErr w:type="spellStart"/>
      <w:r>
        <w:t>4a</w:t>
      </w:r>
      <w:proofErr w:type="spellEnd"/>
      <w:r>
        <w:t xml:space="preserve">, considering the 45 bar subcritical and the 65 bar supercritical conditions. For all working fluids the temperature difference between isobars in the temperature-entropy dome reduces at a higher rate when approaching the </w:t>
      </w:r>
      <w:r>
        <w:lastRenderedPageBreak/>
        <w:t xml:space="preserve">critical point conditions. For example, difference between 10 and 20, 20 and 30, 30 and 40 bar is 42.6, 28.7, </w:t>
      </w:r>
      <w:proofErr w:type="spellStart"/>
      <w:r>
        <w:t>22.2°C</w:t>
      </w:r>
      <w:proofErr w:type="spellEnd"/>
      <w:r>
        <w:t xml:space="preserve">, respectively for ethyl iodide. As the net power output is analogue to the enthalpy difference in the expansion and compression stages. The pump power consumed to </w:t>
      </w:r>
      <w:proofErr w:type="spellStart"/>
      <w:r>
        <w:t>pressurise</w:t>
      </w:r>
      <w:proofErr w:type="spellEnd"/>
      <w:r>
        <w:t xml:space="preserve"> ethyl iodide from 45 bar to 65 bar increases from 1.8 to 2.1 kW, whereas the expansion power due to higher enthalpy at the inlet increases from 19.1 kW to only 19.2 kW. As a consequence of a further increase of 20 </w:t>
      </w:r>
      <w:proofErr w:type="gramStart"/>
      <w:r>
        <w:t>bar</w:t>
      </w:r>
      <w:proofErr w:type="gramEnd"/>
      <w:r>
        <w:t xml:space="preserve"> from the optimal 45 bar cycle pressure no net power output benefit is achieved by low temperature supercritical cycles. The important dependence of increasing the maximum cycle pressure on increasing heat exchanger costs and weight, increasing expansion pressure ratios, and volume flow ratios also highlights the advantages of using the BC where </w:t>
      </w:r>
      <w:proofErr w:type="spellStart"/>
      <w:r>
        <w:t>optimised</w:t>
      </w:r>
      <w:proofErr w:type="spellEnd"/>
      <w:r>
        <w:t xml:space="preserve"> maximum pressure are lower than the critical pressure. Hence, the low temperature supercritical cycles which may also lead to difficulties in operation and safety concern, may not be able to ensure an optimum thermo-economic BC.</w:t>
      </w:r>
    </w:p>
    <w:p w:rsidR="0051724E" w:rsidRPr="00CB5AD9"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238D7882" wp14:editId="0554D8FD">
            <wp:extent cx="3169920" cy="18046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9920" cy="1804670"/>
                    </a:xfrm>
                    <a:prstGeom prst="rect">
                      <a:avLst/>
                    </a:prstGeom>
                    <a:noFill/>
                  </pic:spPr>
                </pic:pic>
              </a:graphicData>
            </a:graphic>
          </wp:inline>
        </w:drawing>
      </w:r>
    </w:p>
    <w:p w:rsidR="0051724E" w:rsidRPr="008D09A5" w:rsidRDefault="0051724E" w:rsidP="0051724E">
      <w:pPr>
        <w:pStyle w:val="Figure"/>
        <w:rPr>
          <w:rFonts w:eastAsiaTheme="minorHAnsi"/>
          <w:b/>
          <w:i/>
          <w:lang w:val="en-GB"/>
        </w:rPr>
      </w:pPr>
      <w:r w:rsidRPr="008D09A5">
        <w:rPr>
          <w:rFonts w:eastAsiaTheme="minorHAnsi"/>
          <w:b/>
          <w:i/>
          <w:lang w:val="en-GB"/>
        </w:rPr>
        <w:t>Figure 9 Net power comparisons for subcritical dry saturated and supercritical bi-phase saturated expansion.</w:t>
      </w:r>
    </w:p>
    <w:p w:rsidR="0051724E" w:rsidRDefault="0051724E" w:rsidP="0051724E">
      <w:pPr>
        <w:jc w:val="both"/>
      </w:pPr>
      <w:r>
        <w:t xml:space="preserve">The published thermal stability literature is sparse, mainly in the temperature range for </w:t>
      </w:r>
      <w:proofErr w:type="spellStart"/>
      <w:r>
        <w:t>EGR</w:t>
      </w:r>
      <w:proofErr w:type="spellEnd"/>
      <w:r>
        <w:t xml:space="preserve"> </w:t>
      </w:r>
      <w:proofErr w:type="spellStart"/>
      <w:r>
        <w:t>WHR</w:t>
      </w:r>
      <w:proofErr w:type="spellEnd"/>
      <w:r>
        <w:t xml:space="preserve">. Nevertheless, most synthetic and organic fluids exhibit the </w:t>
      </w:r>
      <w:proofErr w:type="spellStart"/>
      <w:r>
        <w:t>behaviour</w:t>
      </w:r>
      <w:proofErr w:type="spellEnd"/>
      <w:r>
        <w:t xml:space="preserve"> of low fluid stability, high flammability and corrosiveness near or above critical point conditions </w:t>
      </w:r>
      <w:r>
        <w:rPr>
          <w:noProof/>
        </w:rPr>
        <w:t>[27]</w:t>
      </w:r>
      <w:r>
        <w:t xml:space="preserve">. This limit influences the BC design since the performance has to be tailored to the temperature and pressure ranges where the fluid is chemically </w:t>
      </w:r>
      <w:r w:rsidRPr="003D53A3">
        <w:t xml:space="preserve">stable. </w:t>
      </w:r>
      <w:r w:rsidRPr="00EB1547">
        <w:t>The highest fluid temperature is found in the boundary layer of the fluid close to the tube walls, the stagnation conditions with hot spots will contribute to the decomposition of the working fluid at such points. Furthermore, the expansion inlet temperatures above the fluid critical temperature will compound this degradation effect.</w:t>
      </w:r>
    </w:p>
    <w:p w:rsidR="0051724E" w:rsidRDefault="0051724E" w:rsidP="0051724E">
      <w:pPr>
        <w:jc w:val="both"/>
      </w:pPr>
      <w:r>
        <w:t xml:space="preserve">The alteration of the working fluid flow rate in supercritical cycles to increase average heat addition temperature can compensate for the net power drawbacks of a low temperature supercritical cycle. However, given the high pressure, large </w:t>
      </w:r>
      <w:proofErr w:type="spellStart"/>
      <w:r>
        <w:t>vapour</w:t>
      </w:r>
      <w:proofErr w:type="spellEnd"/>
      <w:r>
        <w:t xml:space="preserve"> phase heat transfer (de-superheating) and high temperature drawbacks for </w:t>
      </w:r>
      <w:proofErr w:type="spellStart"/>
      <w:r>
        <w:t>BCs</w:t>
      </w:r>
      <w:proofErr w:type="spellEnd"/>
      <w:r>
        <w:t xml:space="preserve"> already discussed, high temperature supercritical cycles (figure </w:t>
      </w:r>
      <w:proofErr w:type="spellStart"/>
      <w:r>
        <w:t>2b</w:t>
      </w:r>
      <w:proofErr w:type="spellEnd"/>
      <w:r>
        <w:t xml:space="preserve">) are therefore the least practical option. </w:t>
      </w:r>
    </w:p>
    <w:p w:rsidR="0051724E" w:rsidRPr="00D13587" w:rsidRDefault="0051724E" w:rsidP="0051724E">
      <w:r w:rsidRPr="00CB5AD9">
        <w:rPr>
          <w:b/>
          <w:sz w:val="28"/>
          <w:szCs w:val="28"/>
        </w:rPr>
        <w:lastRenderedPageBreak/>
        <w:t>Flash expansion cycle</w:t>
      </w:r>
      <w:r>
        <w:rPr>
          <w:b/>
          <w:sz w:val="28"/>
          <w:szCs w:val="28"/>
        </w:rPr>
        <w:t>s</w:t>
      </w:r>
      <w:r w:rsidRPr="00CB5AD9">
        <w:rPr>
          <w:b/>
          <w:sz w:val="28"/>
          <w:szCs w:val="28"/>
        </w:rPr>
        <w:t xml:space="preserve"> </w:t>
      </w:r>
    </w:p>
    <w:p w:rsidR="0051724E" w:rsidRDefault="0051724E" w:rsidP="0051724E">
      <w:pPr>
        <w:jc w:val="both"/>
      </w:pPr>
      <w:r w:rsidRPr="00CB5AD9">
        <w:t xml:space="preserve">An alternative approach for providing an almost constant temperature difference between the </w:t>
      </w:r>
      <w:proofErr w:type="spellStart"/>
      <w:r w:rsidRPr="00CB5AD9">
        <w:t>EGR</w:t>
      </w:r>
      <w:proofErr w:type="spellEnd"/>
      <w:r w:rsidRPr="00CB5AD9">
        <w:t xml:space="preserve"> stream and the working fluid with lower pressures than the supercritical cycles was explored by the use of Trilateral Flash Cycles (</w:t>
      </w:r>
      <w:proofErr w:type="spellStart"/>
      <w:r w:rsidRPr="00CB5AD9">
        <w:t>TFC</w:t>
      </w:r>
      <w:proofErr w:type="spellEnd"/>
      <w:r w:rsidRPr="00CB5AD9">
        <w:t xml:space="preserve">). In </w:t>
      </w:r>
      <w:proofErr w:type="spellStart"/>
      <w:r w:rsidRPr="00CB5AD9">
        <w:t>TFC</w:t>
      </w:r>
      <w:proofErr w:type="spellEnd"/>
      <w:r w:rsidRPr="00CB5AD9">
        <w:t xml:space="preserve"> the working fluid enters the expander as saturated liquid and exits at condensing pressure with some </w:t>
      </w:r>
      <w:proofErr w:type="spellStart"/>
      <w:r w:rsidRPr="00CB5AD9">
        <w:t>vapour</w:t>
      </w:r>
      <w:proofErr w:type="spellEnd"/>
      <w:r w:rsidRPr="00CB5AD9">
        <w:t xml:space="preserve"> content (figure </w:t>
      </w:r>
      <w:proofErr w:type="spellStart"/>
      <w:r w:rsidRPr="00CB5AD9">
        <w:t>2a</w:t>
      </w:r>
      <w:proofErr w:type="spellEnd"/>
      <w:r w:rsidRPr="00CB5AD9">
        <w:t xml:space="preserve">). The heat recovery efficiency for </w:t>
      </w:r>
      <w:proofErr w:type="spellStart"/>
      <w:r w:rsidRPr="00CB5AD9">
        <w:t>TFC</w:t>
      </w:r>
      <w:proofErr w:type="spellEnd"/>
      <w:r w:rsidRPr="00CB5AD9">
        <w:t xml:space="preserve"> does not depend on the selected working fluid but depends on the cycle operating condition. As a result all of the selected working fluids provide nearly equal heat recovery efficiency of 96.5-97.5% and hence cool the </w:t>
      </w:r>
      <w:proofErr w:type="spellStart"/>
      <w:r w:rsidRPr="00CB5AD9">
        <w:t>EGR</w:t>
      </w:r>
      <w:proofErr w:type="spellEnd"/>
      <w:r w:rsidRPr="00CB5AD9">
        <w:t xml:space="preserve"> from 465 to </w:t>
      </w:r>
      <w:proofErr w:type="spellStart"/>
      <w:r w:rsidRPr="00CB5AD9">
        <w:t>95-98°C</w:t>
      </w:r>
      <w:proofErr w:type="spellEnd"/>
      <w:r w:rsidRPr="00CB5AD9">
        <w:t xml:space="preserve">. Figure </w:t>
      </w:r>
      <w:proofErr w:type="spellStart"/>
      <w:r w:rsidRPr="00CB5AD9">
        <w:t>10a</w:t>
      </w:r>
      <w:proofErr w:type="spellEnd"/>
      <w:r w:rsidRPr="00CB5AD9">
        <w:t xml:space="preserve"> shows the overall conversion efficiency for </w:t>
      </w:r>
      <w:proofErr w:type="spellStart"/>
      <w:r w:rsidRPr="00CB5AD9">
        <w:t>TFC</w:t>
      </w:r>
      <w:proofErr w:type="spellEnd"/>
      <w:r w:rsidRPr="00CB5AD9">
        <w:t xml:space="preserve"> with different working fluids. </w:t>
      </w:r>
    </w:p>
    <w:p w:rsidR="0051724E" w:rsidRPr="00CB5AD9"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23151982" wp14:editId="7B806185">
            <wp:extent cx="3164205" cy="2346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4205" cy="2346960"/>
                    </a:xfrm>
                    <a:prstGeom prst="rect">
                      <a:avLst/>
                    </a:prstGeom>
                    <a:noFill/>
                  </pic:spPr>
                </pic:pic>
              </a:graphicData>
            </a:graphic>
          </wp:inline>
        </w:drawing>
      </w:r>
    </w:p>
    <w:p w:rsidR="0051724E" w:rsidRPr="00CB5AD9" w:rsidRDefault="0051724E" w:rsidP="0051724E">
      <w:pPr>
        <w:pStyle w:val="Figure"/>
        <w:rPr>
          <w:rFonts w:eastAsiaTheme="minorHAnsi"/>
          <w:lang w:val="en-GB"/>
        </w:rPr>
      </w:pPr>
      <w:r w:rsidRPr="00C473C8">
        <w:rPr>
          <w:rFonts w:eastAsiaTheme="minorHAnsi"/>
          <w:b/>
          <w:i/>
          <w:lang w:val="en-GB"/>
        </w:rPr>
        <w:t>Figure 10 Effect of increasing expander inlet pressure on, (a) overall conversion efficiency, (b) expansion volume flow ratios, for flash expansion cycles</w:t>
      </w:r>
      <w:r w:rsidRPr="00CB5AD9">
        <w:rPr>
          <w:rFonts w:eastAsiaTheme="minorHAnsi"/>
          <w:lang w:val="en-GB"/>
        </w:rPr>
        <w:t xml:space="preserve">. </w:t>
      </w:r>
    </w:p>
    <w:p w:rsidR="0051724E" w:rsidRDefault="0051724E" w:rsidP="0051724E">
      <w:pPr>
        <w:jc w:val="both"/>
      </w:pPr>
      <w:r w:rsidRPr="00CB5AD9">
        <w:t xml:space="preserve">For the near constant temperature difference across the greater segment of the </w:t>
      </w:r>
      <w:proofErr w:type="spellStart"/>
      <w:r w:rsidRPr="00CB5AD9">
        <w:t>EGR</w:t>
      </w:r>
      <w:proofErr w:type="spellEnd"/>
      <w:r w:rsidRPr="00CB5AD9">
        <w:t xml:space="preserve"> cooler and higher net power, the selected fluid should have a higher critical temperature, like ethyl iodide. The shape of the saturated cycles in T-Q diagrams near critical point conditions approximate close to that of the </w:t>
      </w:r>
      <w:proofErr w:type="spellStart"/>
      <w:r w:rsidRPr="00CB5AD9">
        <w:t>TFC</w:t>
      </w:r>
      <w:proofErr w:type="spellEnd"/>
      <w:r w:rsidRPr="00CB5AD9">
        <w:t xml:space="preserve"> since lesser heat is being needed to evaporate the working fluid. Nonetheless, </w:t>
      </w:r>
      <w:proofErr w:type="spellStart"/>
      <w:r w:rsidRPr="00CB5AD9">
        <w:t>TFC</w:t>
      </w:r>
      <w:proofErr w:type="spellEnd"/>
      <w:r w:rsidRPr="00CB5AD9">
        <w:t xml:space="preserve"> always demonstrate lower net power compared to saturated cycles. This can be explained by considering ethyl iodide for </w:t>
      </w:r>
      <w:proofErr w:type="spellStart"/>
      <w:r w:rsidRPr="00CB5AD9">
        <w:t>pressurisation</w:t>
      </w:r>
      <w:proofErr w:type="spellEnd"/>
      <w:r w:rsidRPr="00CB5AD9">
        <w:t xml:space="preserve"> up-to 45 bar for saturated and </w:t>
      </w:r>
      <w:proofErr w:type="spellStart"/>
      <w:r w:rsidRPr="00CB5AD9">
        <w:t>TFC</w:t>
      </w:r>
      <w:proofErr w:type="spellEnd"/>
      <w:r w:rsidRPr="00CB5AD9">
        <w:t xml:space="preserve"> (figure </w:t>
      </w:r>
      <w:proofErr w:type="spellStart"/>
      <w:r w:rsidRPr="00CB5AD9">
        <w:t>10a</w:t>
      </w:r>
      <w:proofErr w:type="spellEnd"/>
      <w:r w:rsidRPr="00CB5AD9">
        <w:t xml:space="preserve"> vs. </w:t>
      </w:r>
      <w:proofErr w:type="spellStart"/>
      <w:r w:rsidRPr="00CB5AD9">
        <w:t>3b</w:t>
      </w:r>
      <w:proofErr w:type="spellEnd"/>
      <w:r w:rsidRPr="00CB5AD9">
        <w:t xml:space="preserve">). It is seen that more power is recoverable from expanding dry </w:t>
      </w:r>
      <w:proofErr w:type="spellStart"/>
      <w:r w:rsidRPr="00CB5AD9">
        <w:t>vapour</w:t>
      </w:r>
      <w:proofErr w:type="spellEnd"/>
      <w:r w:rsidRPr="00CB5AD9">
        <w:t xml:space="preserve"> (19.1 kW) than from expansion through the two phase region (18 kW). As the specific enthalpy change in the expansion is larger for dry </w:t>
      </w:r>
      <w:proofErr w:type="spellStart"/>
      <w:r w:rsidRPr="00CB5AD9">
        <w:t>vapour</w:t>
      </w:r>
      <w:proofErr w:type="spellEnd"/>
      <w:r w:rsidRPr="00CB5AD9">
        <w:t xml:space="preserve"> expansion (48.3 kJ/kg) than </w:t>
      </w:r>
      <w:proofErr w:type="spellStart"/>
      <w:r w:rsidRPr="00CB5AD9">
        <w:t>TFC</w:t>
      </w:r>
      <w:proofErr w:type="spellEnd"/>
      <w:r w:rsidRPr="00CB5AD9">
        <w:t xml:space="preserve"> (39.4 kJ/kg), under the same pressure limits the pump power is greater for </w:t>
      </w:r>
      <w:proofErr w:type="spellStart"/>
      <w:r w:rsidRPr="00CB5AD9">
        <w:t>TFC</w:t>
      </w:r>
      <w:proofErr w:type="spellEnd"/>
      <w:r w:rsidRPr="00CB5AD9">
        <w:t xml:space="preserve"> (2.2 kW) than that of the subcritical cycle (1.8 kW). Hence, </w:t>
      </w:r>
      <w:proofErr w:type="spellStart"/>
      <w:r w:rsidRPr="00CB5AD9">
        <w:t>TFC</w:t>
      </w:r>
      <w:proofErr w:type="spellEnd"/>
      <w:r w:rsidRPr="00CB5AD9">
        <w:t xml:space="preserve"> values for overall conversion efficiency are lesser than those calculated for dry saturated expansion condition. At 0.95 P</w:t>
      </w:r>
      <w:r w:rsidRPr="00C473C8">
        <w:rPr>
          <w:vertAlign w:val="subscript"/>
        </w:rPr>
        <w:t>c</w:t>
      </w:r>
      <w:r w:rsidRPr="00CB5AD9">
        <w:t xml:space="preserve"> </w:t>
      </w:r>
      <w:r>
        <w:t>evaporator</w:t>
      </w:r>
      <w:r w:rsidRPr="00CB5AD9">
        <w:t xml:space="preserve"> pressure, </w:t>
      </w:r>
      <w:proofErr w:type="spellStart"/>
      <w:r w:rsidRPr="00CB5AD9">
        <w:t>TFC</w:t>
      </w:r>
      <w:proofErr w:type="spellEnd"/>
      <w:r w:rsidRPr="00CB5AD9">
        <w:t xml:space="preserve"> ethyl iodide provides a maximum overall conversion efficiency of 16.6% compared to 18% for dry saturated expansion.</w:t>
      </w:r>
    </w:p>
    <w:p w:rsidR="0051724E" w:rsidRDefault="0051724E" w:rsidP="0051724E">
      <w:pPr>
        <w:jc w:val="both"/>
      </w:pPr>
      <w:r>
        <w:lastRenderedPageBreak/>
        <w:t xml:space="preserve">When using positive displacement machines proposed for </w:t>
      </w:r>
      <w:proofErr w:type="spellStart"/>
      <w:r>
        <w:t>TFC</w:t>
      </w:r>
      <w:proofErr w:type="spellEnd"/>
      <w:r>
        <w:t xml:space="preserve">, the overall expansion </w:t>
      </w:r>
      <w:proofErr w:type="spellStart"/>
      <w:r>
        <w:t>VFR</w:t>
      </w:r>
      <w:proofErr w:type="spellEnd"/>
      <w:r>
        <w:t xml:space="preserve"> of the fluid is many times greater than the machine built in </w:t>
      </w:r>
      <w:proofErr w:type="spellStart"/>
      <w:r>
        <w:t>VFR</w:t>
      </w:r>
      <w:proofErr w:type="spellEnd"/>
      <w:r>
        <w:t xml:space="preserve"> </w:t>
      </w:r>
      <w:r>
        <w:rPr>
          <w:noProof/>
        </w:rPr>
        <w:t>[28]</w:t>
      </w:r>
      <w:r>
        <w:t xml:space="preserve">. This is due to the density of the working fluid being higher at the expansion inlet compared to dry saturated cycles. The suction (high pressure port) process is accompanied by a comparatively large pressure drop which contributes significantly to the overall expansion. However, irrespective of this advantage over dry saturated expansion, the </w:t>
      </w:r>
      <w:proofErr w:type="spellStart"/>
      <w:r>
        <w:t>VFRs</w:t>
      </w:r>
      <w:proofErr w:type="spellEnd"/>
      <w:r>
        <w:t xml:space="preserve"> seen in </w:t>
      </w:r>
      <w:proofErr w:type="spellStart"/>
      <w:r>
        <w:t>TFC</w:t>
      </w:r>
      <w:proofErr w:type="spellEnd"/>
      <w:r>
        <w:t xml:space="preserve"> make them impractical. Figure </w:t>
      </w:r>
      <w:proofErr w:type="spellStart"/>
      <w:r>
        <w:t>10b</w:t>
      </w:r>
      <w:proofErr w:type="spellEnd"/>
      <w:r>
        <w:t xml:space="preserve"> shows the </w:t>
      </w:r>
      <w:proofErr w:type="spellStart"/>
      <w:r>
        <w:t>VFRs</w:t>
      </w:r>
      <w:proofErr w:type="spellEnd"/>
      <w:r>
        <w:t xml:space="preserve"> associated with </w:t>
      </w:r>
      <w:proofErr w:type="spellStart"/>
      <w:r>
        <w:t>TFC</w:t>
      </w:r>
      <w:proofErr w:type="spellEnd"/>
      <w:r>
        <w:t xml:space="preserve">. Comparing with figure </w:t>
      </w:r>
      <w:proofErr w:type="spellStart"/>
      <w:r>
        <w:t>6a</w:t>
      </w:r>
      <w:proofErr w:type="spellEnd"/>
      <w:r>
        <w:t xml:space="preserve"> it can be observed that the </w:t>
      </w:r>
      <w:proofErr w:type="spellStart"/>
      <w:r>
        <w:t>VFRs</w:t>
      </w:r>
      <w:proofErr w:type="spellEnd"/>
      <w:r>
        <w:t xml:space="preserve"> of expansion from the liquid phase are much higher than those associated with the expansion of dry </w:t>
      </w:r>
      <w:proofErr w:type="spellStart"/>
      <w:r>
        <w:t>vapours</w:t>
      </w:r>
      <w:proofErr w:type="spellEnd"/>
      <w:r>
        <w:t xml:space="preserve">. </w:t>
      </w:r>
    </w:p>
    <w:p w:rsidR="0051724E" w:rsidRDefault="0051724E" w:rsidP="0051724E">
      <w:pPr>
        <w:jc w:val="both"/>
      </w:pPr>
      <w:r>
        <w:t xml:space="preserve">Comparing water and </w:t>
      </w:r>
      <w:proofErr w:type="spellStart"/>
      <w:r>
        <w:t>R30</w:t>
      </w:r>
      <w:proofErr w:type="spellEnd"/>
      <w:r>
        <w:t xml:space="preserve">, it can be noticed that at 35 </w:t>
      </w:r>
      <w:proofErr w:type="gramStart"/>
      <w:r>
        <w:t>bar</w:t>
      </w:r>
      <w:proofErr w:type="gramEnd"/>
      <w:r>
        <w:t xml:space="preserve">, the cycle with minimum superheated water (figure </w:t>
      </w:r>
      <w:proofErr w:type="spellStart"/>
      <w:r>
        <w:t>6a</w:t>
      </w:r>
      <w:proofErr w:type="spellEnd"/>
      <w:r>
        <w:t xml:space="preserve">) has a </w:t>
      </w:r>
      <w:proofErr w:type="spellStart"/>
      <w:r>
        <w:t>VFR</w:t>
      </w:r>
      <w:proofErr w:type="spellEnd"/>
      <w:r>
        <w:t xml:space="preserve"> of 44.4:1 which increases to 863.8:1 for a </w:t>
      </w:r>
      <w:proofErr w:type="spellStart"/>
      <w:r>
        <w:t>TFC</w:t>
      </w:r>
      <w:proofErr w:type="spellEnd"/>
      <w:r>
        <w:t xml:space="preserve">, an increase by a factor of 19.45. These large </w:t>
      </w:r>
      <w:proofErr w:type="spellStart"/>
      <w:r>
        <w:t>VFRs</w:t>
      </w:r>
      <w:proofErr w:type="spellEnd"/>
      <w:r>
        <w:t xml:space="preserve"> with water as working fluid for </w:t>
      </w:r>
      <w:proofErr w:type="spellStart"/>
      <w:r>
        <w:t>65°C</w:t>
      </w:r>
      <w:proofErr w:type="spellEnd"/>
      <w:r>
        <w:t xml:space="preserve"> condensing temperature are unrealistic to handle in real </w:t>
      </w:r>
      <w:proofErr w:type="spellStart"/>
      <w:r>
        <w:t>BCs</w:t>
      </w:r>
      <w:proofErr w:type="spellEnd"/>
      <w:r>
        <w:t xml:space="preserve">. Furthermore, </w:t>
      </w:r>
      <w:proofErr w:type="spellStart"/>
      <w:r>
        <w:t>TFC</w:t>
      </w:r>
      <w:proofErr w:type="spellEnd"/>
      <w:r>
        <w:t xml:space="preserve"> expander efficiencies decrease as the difference between the heat source and heat sink increases. This is due to the need for a higher built-in </w:t>
      </w:r>
      <w:proofErr w:type="spellStart"/>
      <w:r>
        <w:t>VFR</w:t>
      </w:r>
      <w:proofErr w:type="spellEnd"/>
      <w:r>
        <w:t xml:space="preserve"> to permit complete expansion across increasing pressure differences and, associated with this, reduced fluid throughput and higher leakage losses </w:t>
      </w:r>
      <w:r>
        <w:rPr>
          <w:noProof/>
        </w:rPr>
        <w:t>[28]</w:t>
      </w:r>
      <w:r>
        <w:t>. Neither radial inflow turbines nor</w:t>
      </w:r>
      <w:r w:rsidRPr="00305ACB">
        <w:t xml:space="preserve"> </w:t>
      </w:r>
      <w:r>
        <w:t xml:space="preserve">positive displacement expanders can maintain high efficiencies when </w:t>
      </w:r>
      <w:proofErr w:type="spellStart"/>
      <w:r>
        <w:t>VFR</w:t>
      </w:r>
      <w:proofErr w:type="spellEnd"/>
      <w:r>
        <w:t xml:space="preserve"> exceeds approximately 25:1. </w:t>
      </w:r>
    </w:p>
    <w:p w:rsidR="0051724E" w:rsidRDefault="0051724E" w:rsidP="0051724E">
      <w:pPr>
        <w:jc w:val="both"/>
      </w:pPr>
      <w:r>
        <w:t xml:space="preserve">The large </w:t>
      </w:r>
      <w:proofErr w:type="spellStart"/>
      <w:r>
        <w:t>VFRs</w:t>
      </w:r>
      <w:proofErr w:type="spellEnd"/>
      <w:r>
        <w:t xml:space="preserve"> with water as working fluid are caused by the low </w:t>
      </w:r>
      <w:proofErr w:type="spellStart"/>
      <w:r>
        <w:t>vapour</w:t>
      </w:r>
      <w:proofErr w:type="spellEnd"/>
      <w:r>
        <w:t xml:space="preserve"> pressure (0.25 </w:t>
      </w:r>
      <w:proofErr w:type="gramStart"/>
      <w:r>
        <w:t>bar</w:t>
      </w:r>
      <w:proofErr w:type="gramEnd"/>
      <w:r>
        <w:t xml:space="preserve">) at the selected condensing temperature. Water with </w:t>
      </w:r>
      <w:proofErr w:type="spellStart"/>
      <w:r>
        <w:t>TFC</w:t>
      </w:r>
      <w:proofErr w:type="spellEnd"/>
      <w:r>
        <w:t xml:space="preserve"> operating condition is mainly recommended for combined heat and power plants or in the upper stages in cascade systems which have higher values of condensing temperature. The </w:t>
      </w:r>
      <w:proofErr w:type="spellStart"/>
      <w:r>
        <w:t>VFR</w:t>
      </w:r>
      <w:proofErr w:type="spellEnd"/>
      <w:r>
        <w:t xml:space="preserve"> can be decreased by using working fluids with higher </w:t>
      </w:r>
      <w:proofErr w:type="spellStart"/>
      <w:r>
        <w:t>vapour</w:t>
      </w:r>
      <w:proofErr w:type="spellEnd"/>
      <w:r>
        <w:t xml:space="preserve"> pressures. Using </w:t>
      </w:r>
      <w:proofErr w:type="spellStart"/>
      <w:r>
        <w:t>R30</w:t>
      </w:r>
      <w:proofErr w:type="spellEnd"/>
      <w:r>
        <w:t xml:space="preserve"> the </w:t>
      </w:r>
      <w:proofErr w:type="spellStart"/>
      <w:r>
        <w:t>VFR</w:t>
      </w:r>
      <w:proofErr w:type="spellEnd"/>
      <w:r>
        <w:t xml:space="preserve"> could be reduced by a factor of around 15. Under the same maximum pressure, minimum superheated </w:t>
      </w:r>
      <w:proofErr w:type="spellStart"/>
      <w:r>
        <w:t>R30</w:t>
      </w:r>
      <w:proofErr w:type="spellEnd"/>
      <w:r>
        <w:t xml:space="preserve"> gives a </w:t>
      </w:r>
      <w:proofErr w:type="spellStart"/>
      <w:r>
        <w:t>VFR</w:t>
      </w:r>
      <w:proofErr w:type="spellEnd"/>
      <w:r>
        <w:t xml:space="preserve"> of 13.7:1 and increases to 58:1 for </w:t>
      </w:r>
      <w:proofErr w:type="spellStart"/>
      <w:r>
        <w:t>TFC</w:t>
      </w:r>
      <w:proofErr w:type="spellEnd"/>
      <w:r>
        <w:t xml:space="preserve">, an increase by a factor of 4.23 (figure </w:t>
      </w:r>
      <w:proofErr w:type="spellStart"/>
      <w:r>
        <w:t>6a</w:t>
      </w:r>
      <w:proofErr w:type="spellEnd"/>
      <w:r>
        <w:t xml:space="preserve"> vs. </w:t>
      </w:r>
      <w:proofErr w:type="spellStart"/>
      <w:r>
        <w:t>10b</w:t>
      </w:r>
      <w:proofErr w:type="spellEnd"/>
      <w:r>
        <w:t xml:space="preserve">). </w:t>
      </w:r>
    </w:p>
    <w:p w:rsidR="0051724E" w:rsidRDefault="0051724E" w:rsidP="0051724E">
      <w:pPr>
        <w:rPr>
          <w:b/>
          <w:sz w:val="28"/>
          <w:szCs w:val="28"/>
        </w:rPr>
      </w:pPr>
      <w:r w:rsidRPr="00D13587">
        <w:rPr>
          <w:b/>
          <w:sz w:val="28"/>
          <w:szCs w:val="28"/>
        </w:rPr>
        <w:t>Wet expansion cycle</w:t>
      </w:r>
      <w:r>
        <w:rPr>
          <w:b/>
          <w:sz w:val="28"/>
          <w:szCs w:val="28"/>
        </w:rPr>
        <w:t>s</w:t>
      </w:r>
      <w:r w:rsidRPr="00D13587">
        <w:rPr>
          <w:b/>
          <w:sz w:val="28"/>
          <w:szCs w:val="28"/>
        </w:rPr>
        <w:t xml:space="preserve"> </w:t>
      </w:r>
    </w:p>
    <w:p w:rsidR="0051724E" w:rsidRDefault="0051724E" w:rsidP="0051724E">
      <w:pPr>
        <w:jc w:val="both"/>
      </w:pPr>
      <w:r w:rsidRPr="00D13587">
        <w:t xml:space="preserve">Due to the large heat required to </w:t>
      </w:r>
      <w:proofErr w:type="spellStart"/>
      <w:r w:rsidRPr="00D13587">
        <w:t>vaporise</w:t>
      </w:r>
      <w:proofErr w:type="spellEnd"/>
      <w:r w:rsidRPr="00D13587">
        <w:t xml:space="preserve"> water and further heat needed to superheat steam when using conventional turbines, the </w:t>
      </w:r>
      <w:proofErr w:type="spellStart"/>
      <w:r w:rsidRPr="00D13587">
        <w:t>EGR</w:t>
      </w:r>
      <w:proofErr w:type="spellEnd"/>
      <w:r w:rsidRPr="00D13587">
        <w:t xml:space="preserve"> stream is not cooled down to the temperature values as demonstrated by </w:t>
      </w:r>
      <w:proofErr w:type="spellStart"/>
      <w:r w:rsidRPr="00D13587">
        <w:t>TFC</w:t>
      </w:r>
      <w:proofErr w:type="spellEnd"/>
      <w:r w:rsidRPr="00D13587">
        <w:t xml:space="preserve">. Figure </w:t>
      </w:r>
      <w:proofErr w:type="spellStart"/>
      <w:r w:rsidRPr="00D13587">
        <w:t>11a</w:t>
      </w:r>
      <w:proofErr w:type="spellEnd"/>
      <w:r w:rsidRPr="00D13587">
        <w:t xml:space="preserve"> shows the </w:t>
      </w:r>
      <w:proofErr w:type="spellStart"/>
      <w:r w:rsidRPr="00D13587">
        <w:t>EGR</w:t>
      </w:r>
      <w:proofErr w:type="spellEnd"/>
      <w:r w:rsidRPr="00D13587">
        <w:t xml:space="preserve"> stream only being cooled to </w:t>
      </w:r>
      <w:proofErr w:type="spellStart"/>
      <w:r w:rsidRPr="00D13587">
        <w:t>200°C</w:t>
      </w:r>
      <w:proofErr w:type="spellEnd"/>
      <w:r w:rsidRPr="00D13587">
        <w:t xml:space="preserve"> in a minimum superheat cycle with an evaporator pressure of 35 </w:t>
      </w:r>
      <w:proofErr w:type="gramStart"/>
      <w:r w:rsidRPr="00D13587">
        <w:t>bar</w:t>
      </w:r>
      <w:proofErr w:type="gramEnd"/>
      <w:r w:rsidRPr="00D13587">
        <w:t xml:space="preserve">. For such a cycle operating condition, 25 kW of the 95 kW heat in the </w:t>
      </w:r>
      <w:proofErr w:type="spellStart"/>
      <w:r w:rsidRPr="00D13587">
        <w:t>EGR</w:t>
      </w:r>
      <w:proofErr w:type="spellEnd"/>
      <w:r w:rsidRPr="00D13587">
        <w:t xml:space="preserve"> cooler remains unused and is exhausted, requiring an additional low temperature </w:t>
      </w:r>
      <w:proofErr w:type="spellStart"/>
      <w:r w:rsidRPr="00D13587">
        <w:t>EGR</w:t>
      </w:r>
      <w:proofErr w:type="spellEnd"/>
      <w:r w:rsidRPr="00D13587">
        <w:t xml:space="preserve"> cooler. </w:t>
      </w:r>
      <w:r>
        <w:t xml:space="preserve">The complete isothermal evaporation, which reduces heat recovery efficiency, can be avoided by the application of a wet expansion cycle (figure </w:t>
      </w:r>
      <w:proofErr w:type="spellStart"/>
      <w:r>
        <w:t>2a</w:t>
      </w:r>
      <w:proofErr w:type="spellEnd"/>
      <w:r>
        <w:t xml:space="preserve">). For wet expansion, depending on the saturated </w:t>
      </w:r>
      <w:proofErr w:type="spellStart"/>
      <w:r>
        <w:t>vapour</w:t>
      </w:r>
      <w:proofErr w:type="spellEnd"/>
      <w:r>
        <w:t xml:space="preserve"> line of the working fluid and the two phase mixture content at the expander inlet, it is possible to carry out expansion where the working fluid leaves as two </w:t>
      </w:r>
      <w:r>
        <w:lastRenderedPageBreak/>
        <w:t xml:space="preserve">phase, dry or even superheated </w:t>
      </w:r>
      <w:proofErr w:type="spellStart"/>
      <w:r>
        <w:t>vapour</w:t>
      </w:r>
      <w:proofErr w:type="spellEnd"/>
      <w:r>
        <w:t xml:space="preserve">. The two-phase expansion machines are considered technically the most challenging component. Advancements in turbines have resulted in efficient operation when the working fluid enters in the pure liquid phase; however, they are unsuitable for the admission of two-phase mixtures. Recent progress has been made with screw expanders and equivalent positive displacement machines which may provide a solution </w:t>
      </w:r>
      <w:r>
        <w:rPr>
          <w:noProof/>
        </w:rPr>
        <w:t>[24]</w:t>
      </w:r>
      <w:r>
        <w:t>.</w:t>
      </w:r>
    </w:p>
    <w:p w:rsidR="0051724E" w:rsidRPr="00D13587"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072A2E98" wp14:editId="784A39AF">
            <wp:extent cx="3127375" cy="1804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7375" cy="1804670"/>
                    </a:xfrm>
                    <a:prstGeom prst="rect">
                      <a:avLst/>
                    </a:prstGeom>
                    <a:noFill/>
                  </pic:spPr>
                </pic:pic>
              </a:graphicData>
            </a:graphic>
          </wp:inline>
        </w:drawing>
      </w:r>
    </w:p>
    <w:p w:rsidR="0051724E" w:rsidRPr="00757EFD" w:rsidRDefault="0051724E" w:rsidP="0051724E">
      <w:pPr>
        <w:pStyle w:val="Figure"/>
        <w:rPr>
          <w:rFonts w:eastAsiaTheme="minorHAnsi"/>
          <w:b/>
          <w:i/>
          <w:lang w:val="en-GB"/>
        </w:rPr>
      </w:pPr>
      <w:r w:rsidRPr="00757EFD">
        <w:rPr>
          <w:rFonts w:eastAsiaTheme="minorHAnsi"/>
          <w:b/>
          <w:i/>
          <w:lang w:val="en-GB"/>
        </w:rPr>
        <w:t xml:space="preserve">Figure 11 Heat recovered and cooled </w:t>
      </w:r>
      <w:proofErr w:type="spellStart"/>
      <w:r w:rsidRPr="00757EFD">
        <w:rPr>
          <w:rFonts w:eastAsiaTheme="minorHAnsi"/>
          <w:b/>
          <w:i/>
          <w:lang w:val="en-GB"/>
        </w:rPr>
        <w:t>EGR</w:t>
      </w:r>
      <w:proofErr w:type="spellEnd"/>
      <w:r w:rsidRPr="00757EFD">
        <w:rPr>
          <w:rFonts w:eastAsiaTheme="minorHAnsi"/>
          <w:b/>
          <w:i/>
          <w:lang w:val="en-GB"/>
        </w:rPr>
        <w:t xml:space="preserve"> temperature for, (a) Minimum superheat expansion, (b) Wet expansion. </w:t>
      </w:r>
    </w:p>
    <w:p w:rsidR="0051724E" w:rsidRDefault="0051724E" w:rsidP="0051724E">
      <w:pPr>
        <w:jc w:val="both"/>
      </w:pPr>
      <w:r>
        <w:t xml:space="preserve">To determine the effect of a wet expansion cycle on the heat recovery efficiency and net power, simulations were conducted with varying expander inlet wetness conditions for all fluids at a boiler pressure of 35 </w:t>
      </w:r>
      <w:proofErr w:type="gramStart"/>
      <w:r>
        <w:t>bar</w:t>
      </w:r>
      <w:proofErr w:type="gramEnd"/>
      <w:r>
        <w:t xml:space="preserve">. With the exception of water, figure </w:t>
      </w:r>
      <w:proofErr w:type="spellStart"/>
      <w:r>
        <w:t>12a</w:t>
      </w:r>
      <w:proofErr w:type="spellEnd"/>
      <w:r>
        <w:t xml:space="preserve"> shows net power produced by all the working fluids increases as the wetness at expander inlet decreases. This indicates that these fluids are better suited when operating at dry saturated or minimum superheated conditions. However, when using water the the peak overall conversion efficiency and hence the maximum net power is observed at an expander inlet dryness fraction of 0.45-0.5. The </w:t>
      </w:r>
      <w:proofErr w:type="spellStart"/>
      <w:r>
        <w:t>optimised</w:t>
      </w:r>
      <w:proofErr w:type="spellEnd"/>
      <w:r>
        <w:t xml:space="preserve"> wet expansion cycle in which water enters with a dryness fraction of the order of 0.5 is shown in figure </w:t>
      </w:r>
      <w:proofErr w:type="spellStart"/>
      <w:r>
        <w:t>11b</w:t>
      </w:r>
      <w:proofErr w:type="spellEnd"/>
      <w:r>
        <w:t xml:space="preserve">. This operating condition gives similar heat recovery efficiency (97.4%) as seen with </w:t>
      </w:r>
      <w:proofErr w:type="spellStart"/>
      <w:r>
        <w:t>TFC</w:t>
      </w:r>
      <w:proofErr w:type="spellEnd"/>
      <w:r>
        <w:t xml:space="preserve"> but with higher net power output (17.8 vs. 13 kW). Additionally, when compared with the minimum superheat cycle from figure </w:t>
      </w:r>
      <w:proofErr w:type="spellStart"/>
      <w:r>
        <w:t>3b</w:t>
      </w:r>
      <w:proofErr w:type="spellEnd"/>
      <w:r>
        <w:t xml:space="preserve"> for the same pressure limits wet expansion cycle will give higher net power output (17.8 vs. 15.1 kW). </w:t>
      </w:r>
      <w:r w:rsidRPr="00CF736B">
        <w:t xml:space="preserve">With low temperature heat recovery the UA/kW for wet expansion cycle with water will be higher than the values shown in figure </w:t>
      </w:r>
      <w:proofErr w:type="spellStart"/>
      <w:r w:rsidRPr="00CF736B">
        <w:t>6b</w:t>
      </w:r>
      <w:proofErr w:type="spellEnd"/>
      <w:r w:rsidRPr="00CF736B">
        <w:t xml:space="preserve"> and will be similar to the values calculated by the proposed working fluids at 35 bar. The higher heat transfer coefficients associated with water (two-phase) may in fact result in smaller total heat exchanger surface area.</w:t>
      </w:r>
    </w:p>
    <w:p w:rsidR="0051724E" w:rsidRDefault="0051724E" w:rsidP="0051724E">
      <w:pPr>
        <w:jc w:val="both"/>
      </w:pPr>
      <w:r>
        <w:t xml:space="preserve">However, wet expanders face some application specific challenges. For the selected 35 bar boiler pressure the evaporation temperature is </w:t>
      </w:r>
      <w:proofErr w:type="spellStart"/>
      <w:r>
        <w:t>242.5°C</w:t>
      </w:r>
      <w:proofErr w:type="spellEnd"/>
      <w:r>
        <w:t xml:space="preserve">. Such high temperatures may lead to thermal distortion of the casing and the rotors when using screw machines. To avoid this, boiler pressure has to be reduced to 25 </w:t>
      </w:r>
      <w:proofErr w:type="gramStart"/>
      <w:r>
        <w:t>bar</w:t>
      </w:r>
      <w:proofErr w:type="gramEnd"/>
      <w:r>
        <w:t xml:space="preserve">; this will result in reduced net power from 17.8 to 16.8 kW. Furthermore, as screw machines cannot operate at such high pressure ratios (87.5:1), the condensing </w:t>
      </w:r>
      <w:r>
        <w:lastRenderedPageBreak/>
        <w:t xml:space="preserve">pressure has to be raised to </w:t>
      </w:r>
      <w:proofErr w:type="spellStart"/>
      <w:r>
        <w:t>100°C</w:t>
      </w:r>
      <w:proofErr w:type="spellEnd"/>
      <w:r>
        <w:t xml:space="preserve">. This will further decrease the net power produced to 12.8 kW. Even at this reduced pressure limits, two stages of screw expansion will be required, resulting in bulkier equipment. The problem of </w:t>
      </w:r>
      <w:proofErr w:type="spellStart"/>
      <w:r>
        <w:t>utilising</w:t>
      </w:r>
      <w:proofErr w:type="spellEnd"/>
      <w:r>
        <w:t xml:space="preserve"> wet steam is also evident by the </w:t>
      </w:r>
      <w:proofErr w:type="spellStart"/>
      <w:r>
        <w:t>VFR</w:t>
      </w:r>
      <w:proofErr w:type="spellEnd"/>
      <w:r>
        <w:t xml:space="preserve"> shown in figure </w:t>
      </w:r>
      <w:proofErr w:type="spellStart"/>
      <w:r>
        <w:t>12b</w:t>
      </w:r>
      <w:proofErr w:type="spellEnd"/>
      <w:r>
        <w:t xml:space="preserve">. Comparing water </w:t>
      </w:r>
      <w:proofErr w:type="spellStart"/>
      <w:r>
        <w:t>TFC</w:t>
      </w:r>
      <w:proofErr w:type="spellEnd"/>
      <w:r>
        <w:t xml:space="preserve"> and </w:t>
      </w:r>
      <w:proofErr w:type="spellStart"/>
      <w:r>
        <w:t>optimised</w:t>
      </w:r>
      <w:proofErr w:type="spellEnd"/>
      <w:r>
        <w:t xml:space="preserve"> wet expansion cycle at 35 bar (figure </w:t>
      </w:r>
      <w:proofErr w:type="spellStart"/>
      <w:r>
        <w:t>10b</w:t>
      </w:r>
      <w:proofErr w:type="spellEnd"/>
      <w:r>
        <w:t xml:space="preserve"> vs. </w:t>
      </w:r>
      <w:proofErr w:type="spellStart"/>
      <w:r>
        <w:t>12b</w:t>
      </w:r>
      <w:proofErr w:type="spellEnd"/>
      <w:r>
        <w:t xml:space="preserve">), the </w:t>
      </w:r>
      <w:proofErr w:type="spellStart"/>
      <w:r>
        <w:t>VFR</w:t>
      </w:r>
      <w:proofErr w:type="spellEnd"/>
      <w:r>
        <w:t xml:space="preserve"> reduces form 863.8:1 to 76:1 with increasing the </w:t>
      </w:r>
      <w:proofErr w:type="spellStart"/>
      <w:r>
        <w:t>vapour</w:t>
      </w:r>
      <w:proofErr w:type="spellEnd"/>
      <w:r>
        <w:t xml:space="preserve"> fraction at inlet. Nonetheless, the </w:t>
      </w:r>
      <w:proofErr w:type="spellStart"/>
      <w:r>
        <w:t>VFR</w:t>
      </w:r>
      <w:proofErr w:type="spellEnd"/>
      <w:r>
        <w:t xml:space="preserve"> of wet expansion cycle is twice the values of minimum superheat expansion (figure </w:t>
      </w:r>
      <w:proofErr w:type="spellStart"/>
      <w:r>
        <w:t>12b</w:t>
      </w:r>
      <w:proofErr w:type="spellEnd"/>
      <w:r>
        <w:t xml:space="preserve"> vs. </w:t>
      </w:r>
      <w:proofErr w:type="spellStart"/>
      <w:r>
        <w:t>6a</w:t>
      </w:r>
      <w:proofErr w:type="spellEnd"/>
      <w:r>
        <w:t xml:space="preserve">). This may result in larger footprint of screw expanders to expand water to low condensing temperatures. </w:t>
      </w:r>
    </w:p>
    <w:p w:rsidR="0051724E" w:rsidRPr="00D13587" w:rsidRDefault="0051724E" w:rsidP="0051724E">
      <w:pPr>
        <w:shd w:val="clear" w:color="000000" w:fill="auto"/>
        <w:spacing w:after="0"/>
        <w:rPr>
          <w:rFonts w:eastAsiaTheme="minorHAnsi"/>
          <w:sz w:val="24"/>
          <w:lang w:val="en-GB"/>
        </w:rPr>
      </w:pPr>
      <w:r>
        <w:rPr>
          <w:rFonts w:eastAsiaTheme="minorHAnsi"/>
          <w:noProof/>
          <w:sz w:val="24"/>
          <w:lang w:val="en-GB" w:eastAsia="en-GB"/>
        </w:rPr>
        <w:drawing>
          <wp:inline distT="0" distB="0" distL="0" distR="0" wp14:anchorId="5293DED1" wp14:editId="0DD7D584">
            <wp:extent cx="3152140" cy="21704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2140" cy="2170430"/>
                    </a:xfrm>
                    <a:prstGeom prst="rect">
                      <a:avLst/>
                    </a:prstGeom>
                    <a:noFill/>
                  </pic:spPr>
                </pic:pic>
              </a:graphicData>
            </a:graphic>
          </wp:inline>
        </w:drawing>
      </w:r>
    </w:p>
    <w:p w:rsidR="0051724E" w:rsidRPr="00CF736B" w:rsidRDefault="0051724E" w:rsidP="0051724E">
      <w:pPr>
        <w:pStyle w:val="Figure"/>
        <w:rPr>
          <w:rFonts w:eastAsiaTheme="minorHAnsi"/>
          <w:b/>
          <w:i/>
          <w:lang w:val="en-GB"/>
        </w:rPr>
      </w:pPr>
      <w:r w:rsidRPr="00CF736B">
        <w:rPr>
          <w:rFonts w:eastAsiaTheme="minorHAnsi"/>
          <w:b/>
          <w:i/>
          <w:lang w:val="en-GB"/>
        </w:rPr>
        <w:t xml:space="preserve">Figure 12 Effect of expander vapour fraction on, (a) net power, (b) expansion volume flow ratios, for wet expansion cycles. </w:t>
      </w:r>
    </w:p>
    <w:p w:rsidR="0051724E" w:rsidRDefault="0051724E" w:rsidP="0051724E">
      <w:pPr>
        <w:jc w:val="both"/>
      </w:pPr>
      <w:r w:rsidRPr="00171056">
        <w:t xml:space="preserve">An important problem encountered with </w:t>
      </w:r>
      <w:proofErr w:type="spellStart"/>
      <w:r w:rsidRPr="00171056">
        <w:t>BCs</w:t>
      </w:r>
      <w:proofErr w:type="spellEnd"/>
      <w:r w:rsidRPr="00171056">
        <w:t xml:space="preserve"> is the highly transient conditions of the source</w:t>
      </w:r>
      <w:r>
        <w:t>/</w:t>
      </w:r>
      <w:r w:rsidRPr="00171056">
        <w:t xml:space="preserve">sink in an automotive application.  Suitable control and monitoring systems are thus required to keep the temperature, pressure and </w:t>
      </w:r>
      <w:proofErr w:type="spellStart"/>
      <w:r w:rsidRPr="00171056">
        <w:t>vapour</w:t>
      </w:r>
      <w:proofErr w:type="spellEnd"/>
      <w:r w:rsidRPr="00171056">
        <w:t xml:space="preserve"> conditions within acceptable ranges. Flash and Wet expansion will be very challenging to control in practice, since the information about the enthalpy would be required to exactly define the </w:t>
      </w:r>
      <w:proofErr w:type="spellStart"/>
      <w:r w:rsidRPr="00171056">
        <w:t>vapour</w:t>
      </w:r>
      <w:proofErr w:type="spellEnd"/>
      <w:r w:rsidRPr="00171056">
        <w:t xml:space="preserve"> quality at expansion inlet. In contrast, the minimum superheated condition upstream of the expansion is clearly defined by pressure and temperature.</w:t>
      </w:r>
      <w:r>
        <w:t xml:space="preserve"> </w:t>
      </w:r>
      <w:r w:rsidRPr="00171056">
        <w:t xml:space="preserve">Furthermore, expanders designed for flash and two phase expansion are slightly inefficient than dry </w:t>
      </w:r>
      <w:proofErr w:type="spellStart"/>
      <w:r w:rsidRPr="00171056">
        <w:t>vapour</w:t>
      </w:r>
      <w:proofErr w:type="spellEnd"/>
      <w:r w:rsidRPr="00171056">
        <w:t xml:space="preserve"> turbines.</w:t>
      </w:r>
      <w:r>
        <w:t xml:space="preserve"> From the analysis conducted by varying turbine/expander inlet parameters, it can be concluded that the most suitable cycle operating mode is that of a subcritical cycle with maximum pressure of 0.9-0.95 P</w:t>
      </w:r>
      <w:r w:rsidRPr="00EC704C">
        <w:rPr>
          <w:vertAlign w:val="subscript"/>
        </w:rPr>
        <w:t>c</w:t>
      </w:r>
      <w:r>
        <w:t>, with dry saturated expansion for the proposed isentropic fluids and minimum superheat expansion for the wet fluid.</w:t>
      </w:r>
    </w:p>
    <w:p w:rsidR="0051724E" w:rsidRDefault="0051724E" w:rsidP="0051724E">
      <w:pPr>
        <w:rPr>
          <w:b/>
          <w:caps/>
          <w:sz w:val="28"/>
          <w:szCs w:val="28"/>
          <w:u w:val="single"/>
        </w:rPr>
      </w:pPr>
      <w:proofErr w:type="spellStart"/>
      <w:r w:rsidRPr="00D13587">
        <w:rPr>
          <w:b/>
          <w:caps/>
          <w:sz w:val="28"/>
          <w:szCs w:val="28"/>
          <w:u w:val="single"/>
        </w:rPr>
        <w:t>EGR</w:t>
      </w:r>
      <w:proofErr w:type="spellEnd"/>
      <w:r w:rsidRPr="00D13587">
        <w:rPr>
          <w:b/>
          <w:caps/>
          <w:sz w:val="28"/>
          <w:szCs w:val="28"/>
          <w:u w:val="single"/>
        </w:rPr>
        <w:t xml:space="preserve"> and </w:t>
      </w:r>
      <w:proofErr w:type="spellStart"/>
      <w:r w:rsidRPr="00D13587">
        <w:rPr>
          <w:b/>
          <w:caps/>
          <w:sz w:val="28"/>
          <w:szCs w:val="28"/>
          <w:u w:val="single"/>
        </w:rPr>
        <w:t>CAC</w:t>
      </w:r>
      <w:proofErr w:type="spellEnd"/>
      <w:r w:rsidRPr="00D13587">
        <w:rPr>
          <w:b/>
          <w:caps/>
          <w:sz w:val="28"/>
          <w:szCs w:val="28"/>
          <w:u w:val="single"/>
        </w:rPr>
        <w:t xml:space="preserve"> </w:t>
      </w:r>
      <w:proofErr w:type="spellStart"/>
      <w:r w:rsidRPr="00D13587">
        <w:rPr>
          <w:b/>
          <w:caps/>
          <w:sz w:val="28"/>
          <w:szCs w:val="28"/>
          <w:u w:val="single"/>
        </w:rPr>
        <w:t>WHR</w:t>
      </w:r>
      <w:proofErr w:type="spellEnd"/>
      <w:r w:rsidRPr="00D13587">
        <w:rPr>
          <w:b/>
          <w:caps/>
          <w:sz w:val="28"/>
          <w:szCs w:val="28"/>
          <w:u w:val="single"/>
        </w:rPr>
        <w:t xml:space="preserve"> </w:t>
      </w:r>
    </w:p>
    <w:p w:rsidR="0051724E" w:rsidRDefault="0051724E" w:rsidP="0051724E">
      <w:pPr>
        <w:jc w:val="both"/>
      </w:pPr>
      <w:r>
        <w:t xml:space="preserve">Waste heat can be obtained from four sources which include, engine cooling, </w:t>
      </w:r>
      <w:proofErr w:type="spellStart"/>
      <w:r>
        <w:t>CAC’s</w:t>
      </w:r>
      <w:proofErr w:type="spellEnd"/>
      <w:r>
        <w:t xml:space="preserve"> (inter and after-cooler), </w:t>
      </w:r>
      <w:proofErr w:type="spellStart"/>
      <w:r>
        <w:t>EGR</w:t>
      </w:r>
      <w:proofErr w:type="spellEnd"/>
      <w:r>
        <w:t xml:space="preserve"> cooler and exhaust gas stream. The engine cooling carries a large percentage of fuel energy but due to the low quality its potential for power conversion is low. Similar results are seen with inter-cooler. Furthermore, inter-cooler is extremely </w:t>
      </w:r>
      <w:r>
        <w:lastRenderedPageBreak/>
        <w:t xml:space="preserve">sensitive to engine speed and load, and at typical cruise condition, the low pressure T/C is bypassed. The after-cooler is a slightly more </w:t>
      </w:r>
      <w:proofErr w:type="spellStart"/>
      <w:r>
        <w:t>favourable</w:t>
      </w:r>
      <w:proofErr w:type="spellEnd"/>
      <w:r>
        <w:t xml:space="preserve"> source, though not very effective over the drive cycle, the higher temperatures seen at high loads and even at low loads allows the possibility of partial </w:t>
      </w:r>
      <w:proofErr w:type="spellStart"/>
      <w:r>
        <w:t>WHR</w:t>
      </w:r>
      <w:proofErr w:type="spellEnd"/>
      <w:r>
        <w:t xml:space="preserve">. The exhaust gas flow taken downstream of the </w:t>
      </w:r>
      <w:proofErr w:type="spellStart"/>
      <w:r>
        <w:t>DPF</w:t>
      </w:r>
      <w:proofErr w:type="spellEnd"/>
      <w:r>
        <w:t xml:space="preserve"> is comparable in quantity but lower in quality than </w:t>
      </w:r>
      <w:proofErr w:type="spellStart"/>
      <w:r>
        <w:t>EGR</w:t>
      </w:r>
      <w:proofErr w:type="spellEnd"/>
      <w:r>
        <w:t xml:space="preserve"> during normal operating conditions. For an </w:t>
      </w:r>
      <w:proofErr w:type="spellStart"/>
      <w:r>
        <w:t>EGR</w:t>
      </w:r>
      <w:proofErr w:type="spellEnd"/>
      <w:r>
        <w:t xml:space="preserve"> only engine, the frequent </w:t>
      </w:r>
      <w:proofErr w:type="spellStart"/>
      <w:r>
        <w:t>DPF</w:t>
      </w:r>
      <w:proofErr w:type="spellEnd"/>
      <w:r>
        <w:t xml:space="preserve"> regenerations will boost the exhaust temperature to </w:t>
      </w:r>
      <w:proofErr w:type="spellStart"/>
      <w:r>
        <w:t>600°C</w:t>
      </w:r>
      <w:proofErr w:type="spellEnd"/>
      <w:r>
        <w:t xml:space="preserve">, increasing the quality of the stream significantly. However, the use of an exhaust heat exchanger will lead to added pumping losses and significant increase in engine cooling load. </w:t>
      </w:r>
      <w:proofErr w:type="spellStart"/>
      <w:r>
        <w:t>EGR</w:t>
      </w:r>
      <w:proofErr w:type="spellEnd"/>
      <w:r>
        <w:t xml:space="preserve"> flows taken before the T/C offer the highest quality. The 35-45% flow rates make it a source of high overall conversion efficiency, leading to over 15% reduction in total heat rejected by the </w:t>
      </w:r>
      <w:proofErr w:type="spellStart"/>
      <w:r>
        <w:t>EGR</w:t>
      </w:r>
      <w:proofErr w:type="spellEnd"/>
      <w:r>
        <w:t xml:space="preserve"> condenser. Hence, for a systems approach, the recovery of </w:t>
      </w:r>
      <w:proofErr w:type="spellStart"/>
      <w:r>
        <w:t>EGR</w:t>
      </w:r>
      <w:proofErr w:type="spellEnd"/>
      <w:r>
        <w:t xml:space="preserve"> and partial high temperature after-cooler was conducted. With such a recovery layout, the available components in the cooling circuit are used without added back pressure for </w:t>
      </w:r>
      <w:proofErr w:type="spellStart"/>
      <w:r>
        <w:t>BSFC</w:t>
      </w:r>
      <w:proofErr w:type="spellEnd"/>
      <w:r>
        <w:t xml:space="preserve"> improvements and reduced engine heat rejection. </w:t>
      </w:r>
    </w:p>
    <w:p w:rsidR="0051724E" w:rsidRDefault="0051724E" w:rsidP="0051724E">
      <w:pPr>
        <w:jc w:val="both"/>
      </w:pPr>
      <w:r>
        <w:t xml:space="preserve">The maximum cycle pressure was limited to 45 </w:t>
      </w:r>
      <w:proofErr w:type="gramStart"/>
      <w:r>
        <w:t>bar</w:t>
      </w:r>
      <w:proofErr w:type="gramEnd"/>
      <w:r>
        <w:t xml:space="preserve"> and the cycle operating condition was that of minimum superheat for wet fluids and dry saturated expansion for isentropic fluids. </w:t>
      </w:r>
      <w:r w:rsidRPr="00CB66C3">
        <w:t xml:space="preserve">For the low temperature and </w:t>
      </w:r>
      <w:r>
        <w:t xml:space="preserve">high </w:t>
      </w:r>
      <w:r w:rsidRPr="00CB66C3">
        <w:t xml:space="preserve">temperature radiators in the cooling module of the high </w:t>
      </w:r>
      <w:proofErr w:type="spellStart"/>
      <w:r w:rsidRPr="00CB66C3">
        <w:t>EGR</w:t>
      </w:r>
      <w:proofErr w:type="spellEnd"/>
      <w:r w:rsidRPr="00CB66C3">
        <w:t xml:space="preserve"> rate engine, the lowest temperatures are 65 °C and 85 °C, respectively. The BC condenser is considered as a replacement of the low temperature radiator. </w:t>
      </w:r>
      <w:r>
        <w:t xml:space="preserve">The condensing temperature was fixed at </w:t>
      </w:r>
      <w:proofErr w:type="spellStart"/>
      <w:r>
        <w:t>65°C</w:t>
      </w:r>
      <w:proofErr w:type="spellEnd"/>
      <w:r>
        <w:t xml:space="preserve">. The minimum cycle pressures must be maintained at low levels, yet super-atmospheric, in order to prevent air or moisture ingress. Hence, the potential </w:t>
      </w:r>
      <w:proofErr w:type="spellStart"/>
      <w:r>
        <w:t>WHR</w:t>
      </w:r>
      <w:proofErr w:type="spellEnd"/>
      <w:r>
        <w:t xml:space="preserve"> benefits were only assessed using acetone, </w:t>
      </w:r>
      <w:proofErr w:type="spellStart"/>
      <w:r>
        <w:t>R30</w:t>
      </w:r>
      <w:proofErr w:type="spellEnd"/>
      <w:r>
        <w:t xml:space="preserve"> and </w:t>
      </w:r>
      <w:proofErr w:type="spellStart"/>
      <w:r>
        <w:t>R1130</w:t>
      </w:r>
      <w:proofErr w:type="spellEnd"/>
      <w:r>
        <w:t xml:space="preserve"> (condensing pressures 1.33, 2.28, 1.69 bars, respectively). Even though ethyl iodide gives condensing pressure ≈ 1 bar, it was excluded from this analysis. With the three selected fluids, reducing condensing temperatures further while remaining at super-atmospheric pressures will also improve their cold weather performance.</w:t>
      </w:r>
    </w:p>
    <w:p w:rsidR="0051724E" w:rsidRDefault="0051724E" w:rsidP="0051724E">
      <w:pPr>
        <w:jc w:val="both"/>
      </w:pPr>
      <w:r w:rsidRPr="00EC704C">
        <w:t>Table 4 shows the results for the two engine platforms</w:t>
      </w:r>
      <w:r>
        <w:t>. A</w:t>
      </w:r>
      <w:r w:rsidRPr="00EC704C">
        <w:t>lso included are results for ethanol</w:t>
      </w:r>
      <w:r>
        <w:t xml:space="preserve"> condensed at 65 °C</w:t>
      </w:r>
      <w:r w:rsidRPr="00EC704C">
        <w:t xml:space="preserve">. From table 4 it can be seen that the proposed fluids provide similar or improved </w:t>
      </w:r>
      <w:proofErr w:type="spellStart"/>
      <w:r w:rsidRPr="00EC704C">
        <w:t>BSFC</w:t>
      </w:r>
      <w:proofErr w:type="spellEnd"/>
      <w:r w:rsidRPr="00EC704C">
        <w:t xml:space="preserve"> compared to ethanol for </w:t>
      </w:r>
      <w:proofErr w:type="spellStart"/>
      <w:r w:rsidRPr="00EC704C">
        <w:t>EGR</w:t>
      </w:r>
      <w:proofErr w:type="spellEnd"/>
      <w:r w:rsidRPr="00EC704C">
        <w:t xml:space="preserve"> only (10.25-10.01 vs. 10.1%; 13.83-12.41 vs. 12.56 %) and </w:t>
      </w:r>
      <w:proofErr w:type="spellStart"/>
      <w:r w:rsidRPr="00EC704C">
        <w:t>EGR</w:t>
      </w:r>
      <w:proofErr w:type="spellEnd"/>
      <w:r w:rsidRPr="00EC704C">
        <w:t xml:space="preserve"> focused (6.76-6.6 vs. 6.67%; 6.98-6.64 vs. 6.72%) engine at </w:t>
      </w:r>
      <w:proofErr w:type="spellStart"/>
      <w:r w:rsidRPr="00EC704C">
        <w:t>B50</w:t>
      </w:r>
      <w:proofErr w:type="spellEnd"/>
      <w:r w:rsidRPr="00EC704C">
        <w:t xml:space="preserve"> and </w:t>
      </w:r>
      <w:proofErr w:type="spellStart"/>
      <w:r w:rsidRPr="00EC704C">
        <w:t>C100</w:t>
      </w:r>
      <w:proofErr w:type="spellEnd"/>
      <w:r w:rsidRPr="00EC704C">
        <w:t>, respectively.</w:t>
      </w:r>
      <w:r w:rsidR="00EF745E">
        <w:t xml:space="preserve"> </w:t>
      </w:r>
      <w:r w:rsidR="00EF745E" w:rsidRPr="00EC704C">
        <w:t xml:space="preserve">For maximum performance improvement, the analysis </w:t>
      </w:r>
      <w:proofErr w:type="spellStart"/>
      <w:r w:rsidR="00EF745E" w:rsidRPr="00EC704C">
        <w:t>favours</w:t>
      </w:r>
      <w:proofErr w:type="spellEnd"/>
      <w:r w:rsidR="00EF745E" w:rsidRPr="00EC704C">
        <w:t xml:space="preserve"> acetone, with approximately 7% increase in engine power for an </w:t>
      </w:r>
      <w:proofErr w:type="spellStart"/>
      <w:r w:rsidR="00EF745E" w:rsidRPr="00EC704C">
        <w:t>EGR</w:t>
      </w:r>
      <w:proofErr w:type="spellEnd"/>
      <w:r w:rsidR="00EF745E" w:rsidRPr="00EC704C">
        <w:t xml:space="preserve"> only engine at </w:t>
      </w:r>
      <w:proofErr w:type="spellStart"/>
      <w:r w:rsidR="00EF745E" w:rsidRPr="00EC704C">
        <w:t>C100</w:t>
      </w:r>
      <w:proofErr w:type="spellEnd"/>
      <w:r w:rsidR="00EF745E" w:rsidRPr="00EC704C">
        <w:t>.</w:t>
      </w:r>
      <w:r w:rsidR="00EF745E">
        <w:t xml:space="preserve"> </w:t>
      </w:r>
      <w:r w:rsidR="00EF745E" w:rsidRPr="00EC704C">
        <w:t xml:space="preserve">The higher efficiency with acetone is owed to the better heat transfer performance in the </w:t>
      </w:r>
      <w:proofErr w:type="spellStart"/>
      <w:r w:rsidR="00EF745E" w:rsidRPr="00EC704C">
        <w:t>CAC</w:t>
      </w:r>
      <w:proofErr w:type="spellEnd"/>
      <w:r w:rsidR="00EF745E" w:rsidRPr="00EC704C">
        <w:t xml:space="preserve"> as a result of its lower latent heat. A fluid with a low latent heat and high density will absorb more energy from the source in the preheating phase rather than evaporation and will thus increase the working fluid mass flow rate, maintain turbine efficiency, and provide higher overall conversion efficiency.</w:t>
      </w:r>
      <w:r w:rsidRPr="00EC704C">
        <w:t xml:space="preserve"> </w:t>
      </w:r>
    </w:p>
    <w:p w:rsidR="0051724E" w:rsidRDefault="0051724E" w:rsidP="0051724E">
      <w:pPr>
        <w:jc w:val="both"/>
        <w:sectPr w:rsidR="0051724E" w:rsidSect="00184E4F">
          <w:type w:val="continuous"/>
          <w:pgSz w:w="12240" w:h="15840"/>
          <w:pgMar w:top="720" w:right="720" w:bottom="720" w:left="720" w:header="720" w:footer="720" w:gutter="0"/>
          <w:cols w:num="2" w:space="720"/>
          <w:docGrid w:linePitch="360"/>
        </w:sectPr>
      </w:pPr>
    </w:p>
    <w:p w:rsidR="0051724E" w:rsidRPr="002F336D" w:rsidRDefault="0051724E" w:rsidP="0051724E">
      <w:pPr>
        <w:pStyle w:val="Figure"/>
        <w:rPr>
          <w:rFonts w:eastAsiaTheme="minorHAnsi"/>
          <w:lang w:val="en-GB"/>
        </w:rPr>
        <w:sectPr w:rsidR="0051724E" w:rsidRPr="002F336D" w:rsidSect="00B115C3">
          <w:pgSz w:w="12240" w:h="15840"/>
          <w:pgMar w:top="720" w:right="720" w:bottom="720" w:left="720" w:header="720" w:footer="720" w:gutter="0"/>
          <w:cols w:space="720"/>
          <w:docGrid w:linePitch="360"/>
        </w:sectPr>
      </w:pPr>
      <w:r w:rsidRPr="00DC49B7">
        <w:rPr>
          <w:rFonts w:eastAsiaTheme="minorHAnsi"/>
          <w:b/>
          <w:i/>
          <w:lang w:val="en-GB"/>
        </w:rPr>
        <w:lastRenderedPageBreak/>
        <w:t xml:space="preserve">Table 4 Efficiency improvements by recovering CAC and </w:t>
      </w:r>
      <w:proofErr w:type="spellStart"/>
      <w:r w:rsidRPr="00DC49B7">
        <w:rPr>
          <w:rFonts w:eastAsiaTheme="minorHAnsi"/>
          <w:b/>
          <w:i/>
          <w:lang w:val="en-GB"/>
        </w:rPr>
        <w:t>EGR</w:t>
      </w:r>
      <w:proofErr w:type="spellEnd"/>
      <w:r w:rsidRPr="00DC49B7">
        <w:rPr>
          <w:rFonts w:eastAsiaTheme="minorHAnsi"/>
          <w:b/>
          <w:i/>
          <w:lang w:val="en-GB"/>
        </w:rPr>
        <w:t xml:space="preserve"> heat on </w:t>
      </w:r>
      <w:proofErr w:type="spellStart"/>
      <w:r w:rsidRPr="00DC49B7">
        <w:rPr>
          <w:rFonts w:eastAsiaTheme="minorHAnsi"/>
          <w:b/>
          <w:i/>
          <w:lang w:val="en-GB"/>
        </w:rPr>
        <w:t>EGR</w:t>
      </w:r>
      <w:proofErr w:type="spellEnd"/>
      <w:r w:rsidRPr="00DC49B7">
        <w:rPr>
          <w:rFonts w:eastAsiaTheme="minorHAnsi"/>
          <w:b/>
          <w:i/>
          <w:lang w:val="en-GB"/>
        </w:rPr>
        <w:t xml:space="preserve"> only and </w:t>
      </w:r>
      <w:proofErr w:type="spellStart"/>
      <w:r w:rsidRPr="00DC49B7">
        <w:rPr>
          <w:rFonts w:eastAsiaTheme="minorHAnsi"/>
          <w:b/>
          <w:i/>
          <w:lang w:val="en-GB"/>
        </w:rPr>
        <w:t>EGR</w:t>
      </w:r>
      <w:proofErr w:type="spellEnd"/>
      <w:r w:rsidRPr="00DC49B7">
        <w:rPr>
          <w:rFonts w:eastAsiaTheme="minorHAnsi"/>
          <w:b/>
          <w:i/>
          <w:lang w:val="en-GB"/>
        </w:rPr>
        <w:t xml:space="preserve"> focused engine.</w:t>
      </w:r>
      <w:r>
        <w:rPr>
          <w:rFonts w:eastAsiaTheme="minorHAnsi"/>
          <w:b/>
          <w:i/>
          <w:noProof/>
          <w:lang w:val="en-GB" w:eastAsia="en-GB"/>
        </w:rPr>
        <w:drawing>
          <wp:inline distT="0" distB="0" distL="0" distR="0" wp14:anchorId="2C26D769" wp14:editId="6922A24C">
            <wp:extent cx="6407150" cy="17437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7150" cy="1743710"/>
                    </a:xfrm>
                    <a:prstGeom prst="rect">
                      <a:avLst/>
                    </a:prstGeom>
                    <a:noFill/>
                  </pic:spPr>
                </pic:pic>
              </a:graphicData>
            </a:graphic>
          </wp:inline>
        </w:drawing>
      </w:r>
    </w:p>
    <w:p w:rsidR="00EF745E" w:rsidRDefault="00EF745E" w:rsidP="00EF745E">
      <w:pPr>
        <w:jc w:val="both"/>
      </w:pPr>
      <w:r w:rsidRPr="00EC704C">
        <w:lastRenderedPageBreak/>
        <w:t xml:space="preserve">The recommendation of fluid with low latent heat is contrary to the discussion conducted using figure </w:t>
      </w:r>
      <w:proofErr w:type="spellStart"/>
      <w:r w:rsidRPr="00EC704C">
        <w:t>4b</w:t>
      </w:r>
      <w:proofErr w:type="spellEnd"/>
      <w:r w:rsidRPr="00EC704C">
        <w:t xml:space="preserve">. As the objective for </w:t>
      </w:r>
      <w:proofErr w:type="spellStart"/>
      <w:r w:rsidRPr="00EC704C">
        <w:t>WHR</w:t>
      </w:r>
      <w:proofErr w:type="spellEnd"/>
      <w:r w:rsidRPr="00EC704C">
        <w:t xml:space="preserve"> applied to </w:t>
      </w:r>
      <w:r>
        <w:t xml:space="preserve">a </w:t>
      </w:r>
      <w:r w:rsidRPr="00EC704C">
        <w:t xml:space="preserve">high </w:t>
      </w:r>
      <w:proofErr w:type="spellStart"/>
      <w:r w:rsidRPr="00EC704C">
        <w:t>EGR</w:t>
      </w:r>
      <w:proofErr w:type="spellEnd"/>
      <w:r w:rsidRPr="00EC704C">
        <w:t xml:space="preserve"> rate engine is not only to provide high thermal efficiency but is also to cool the </w:t>
      </w:r>
      <w:proofErr w:type="spellStart"/>
      <w:r w:rsidRPr="00EC704C">
        <w:t>EGR</w:t>
      </w:r>
      <w:proofErr w:type="spellEnd"/>
      <w:r w:rsidRPr="00EC704C">
        <w:t xml:space="preserve"> stream for highest overall conversion efficiency, fluids with low latent heat are more preferable</w:t>
      </w:r>
      <w:r>
        <w:t>.</w:t>
      </w:r>
    </w:p>
    <w:p w:rsidR="0051724E" w:rsidRDefault="0051724E" w:rsidP="0051724E">
      <w:pPr>
        <w:jc w:val="both"/>
      </w:pPr>
      <w:r>
        <w:t xml:space="preserve">The temperature and pressure limits considered in this analysis are least </w:t>
      </w:r>
      <w:proofErr w:type="spellStart"/>
      <w:r>
        <w:t>favourable</w:t>
      </w:r>
      <w:proofErr w:type="spellEnd"/>
      <w:r>
        <w:t xml:space="preserve"> for ethanol. Comparing ethanol and </w:t>
      </w:r>
      <w:proofErr w:type="spellStart"/>
      <w:r>
        <w:t>R30</w:t>
      </w:r>
      <w:proofErr w:type="spellEnd"/>
      <w:r>
        <w:t xml:space="preserve">, it was found that ethanol operates at sub-atmospheric condensing pressures (0.77 </w:t>
      </w:r>
      <w:proofErr w:type="gramStart"/>
      <w:r>
        <w:t>bar</w:t>
      </w:r>
      <w:proofErr w:type="gramEnd"/>
      <w:r>
        <w:t xml:space="preserve">). This implies reduced density of </w:t>
      </w:r>
      <w:proofErr w:type="spellStart"/>
      <w:r>
        <w:t>vapour</w:t>
      </w:r>
      <w:proofErr w:type="spellEnd"/>
      <w:r>
        <w:t xml:space="preserve"> and relatively higher condensing specific volumes (0.7845 </w:t>
      </w:r>
      <w:proofErr w:type="gramStart"/>
      <w:r>
        <w:t xml:space="preserve">vs. 0.1296 </w:t>
      </w:r>
      <w:proofErr w:type="spellStart"/>
      <w:r>
        <w:t>m</w:t>
      </w:r>
      <w:r w:rsidRPr="00E3046A">
        <w:rPr>
          <w:vertAlign w:val="superscript"/>
        </w:rPr>
        <w:t>3</w:t>
      </w:r>
      <w:proofErr w:type="spellEnd"/>
      <w:r>
        <w:t>/kg</w:t>
      </w:r>
      <w:proofErr w:type="gramEnd"/>
      <w:r>
        <w:t>). Also, the higher pressure ratios (58.4:1 vs. 18.5:1) calculated does not allow the possibility of using a positive displacement expander. Furthermore, if the condensing temperature is increased to that seen in the high temperature radiator (</w:t>
      </w:r>
      <w:proofErr w:type="spellStart"/>
      <w:r>
        <w:t>85°C</w:t>
      </w:r>
      <w:proofErr w:type="spellEnd"/>
      <w:r>
        <w:t xml:space="preserve">) </w:t>
      </w:r>
      <w:r w:rsidRPr="00EB79CB">
        <w:t xml:space="preserve">the suitability of </w:t>
      </w:r>
      <w:proofErr w:type="spellStart"/>
      <w:r>
        <w:t>R30</w:t>
      </w:r>
      <w:proofErr w:type="spellEnd"/>
      <w:r>
        <w:t xml:space="preserve"> is</w:t>
      </w:r>
      <w:r w:rsidRPr="00EB79CB">
        <w:t xml:space="preserve"> even more profound over ethanol</w:t>
      </w:r>
      <w:r>
        <w:t xml:space="preserve">, for nearly the same net power (±3%) </w:t>
      </w:r>
      <w:r w:rsidRPr="00EB79CB">
        <w:t xml:space="preserve">pressure ratio </w:t>
      </w:r>
      <w:r>
        <w:t xml:space="preserve">and volume flow ratios are </w:t>
      </w:r>
      <w:r w:rsidRPr="00EB79CB">
        <w:t>9.7:1 vs. 26</w:t>
      </w:r>
      <w:r>
        <w:t>.</w:t>
      </w:r>
      <w:r w:rsidRPr="00EB79CB">
        <w:t>2:1 and 10.7:1 vs. 29.7:1</w:t>
      </w:r>
      <w:r>
        <w:t xml:space="preserve">. </w:t>
      </w:r>
    </w:p>
    <w:p w:rsidR="0051724E" w:rsidRDefault="0051724E" w:rsidP="0051724E">
      <w:pPr>
        <w:pStyle w:val="Head1"/>
      </w:pPr>
      <w:r>
        <w:t>ConclusionS</w:t>
      </w:r>
    </w:p>
    <w:p w:rsidR="0051724E" w:rsidRDefault="0051724E" w:rsidP="0051724E">
      <w:pPr>
        <w:jc w:val="both"/>
      </w:pPr>
      <w:r>
        <w:t xml:space="preserve">The main challenges of the BC design and performance are the choice of an appropriate working fluid and the associated operating mode which impacts its practicality. With higher condensing pressures, higher auto-ignition temperatures, lower expansion </w:t>
      </w:r>
      <w:proofErr w:type="spellStart"/>
      <w:r>
        <w:t>VFRs</w:t>
      </w:r>
      <w:proofErr w:type="spellEnd"/>
      <w:r>
        <w:t xml:space="preserve"> and lower speed of sound than ethanol, the study highlighted the desirable characteristics of isentropic fluids (</w:t>
      </w:r>
      <w:proofErr w:type="spellStart"/>
      <w:r>
        <w:t>R1130</w:t>
      </w:r>
      <w:proofErr w:type="spellEnd"/>
      <w:r>
        <w:t xml:space="preserve"> and acetone) and a wet fluid (</w:t>
      </w:r>
      <w:proofErr w:type="spellStart"/>
      <w:r>
        <w:t>R30</w:t>
      </w:r>
      <w:proofErr w:type="spellEnd"/>
      <w:r>
        <w:t xml:space="preserve">) which are proposed as alternatives. </w:t>
      </w:r>
    </w:p>
    <w:p w:rsidR="0051724E" w:rsidRDefault="0051724E" w:rsidP="0051724E">
      <w:pPr>
        <w:jc w:val="both"/>
      </w:pPr>
      <w:r>
        <w:t xml:space="preserve">Multiple sub and supercritical BC operating conditions with varying turbine/expander inlet parameters were </w:t>
      </w:r>
      <w:proofErr w:type="spellStart"/>
      <w:r>
        <w:t>analysed</w:t>
      </w:r>
      <w:proofErr w:type="spellEnd"/>
      <w:r>
        <w:t>. For organic fluids, a higher turbine inlet pressure increases the ratio of net work to heat absorbed, leading to improved thermal and overall conversion efficiencies.  Net output of the BC systems is significantly increased by using maximum pressure levels of 0.9-</w:t>
      </w:r>
      <w:proofErr w:type="spellStart"/>
      <w:r>
        <w:t>0.95P</w:t>
      </w:r>
      <w:r w:rsidRPr="00C03662">
        <w:rPr>
          <w:vertAlign w:val="subscript"/>
        </w:rPr>
        <w:t>c</w:t>
      </w:r>
      <w:proofErr w:type="spellEnd"/>
      <w:r>
        <w:t xml:space="preserve"> for the proposed fluids. </w:t>
      </w:r>
    </w:p>
    <w:p w:rsidR="0051724E" w:rsidRDefault="0051724E" w:rsidP="0051724E">
      <w:pPr>
        <w:jc w:val="both"/>
      </w:pPr>
      <w:r>
        <w:t xml:space="preserve">Superheating plays a negative role on the thermal efficiency of dry fluids, as it reduces the net power produced compared to the reference saturated dry expansion. Minimum superheating </w:t>
      </w:r>
      <w:r>
        <w:lastRenderedPageBreak/>
        <w:t>is necessary for wet fluids when used with conventional turbines, however, the economic feasibility of the proposed wet fluid (</w:t>
      </w:r>
      <w:proofErr w:type="spellStart"/>
      <w:r>
        <w:t>R30</w:t>
      </w:r>
      <w:proofErr w:type="spellEnd"/>
      <w:r>
        <w:t xml:space="preserve">) can be increased by avoiding large superheat with a reduction of only 6% in expansion power. </w:t>
      </w:r>
    </w:p>
    <w:p w:rsidR="0051724E" w:rsidRDefault="0051724E" w:rsidP="0051724E">
      <w:pPr>
        <w:jc w:val="both"/>
      </w:pPr>
      <w:r>
        <w:t xml:space="preserve">The investigation of supercritical bi-phase saturated expansion on isentropic and dry fluids did not bring any </w:t>
      </w:r>
      <w:proofErr w:type="spellStart"/>
      <w:r>
        <w:t>favourable</w:t>
      </w:r>
      <w:proofErr w:type="spellEnd"/>
      <w:r>
        <w:t xml:space="preserve"> results concerning the net power produced. Drawbacks associated with the high pressures, compounded fluid decomposition and large de-superheating makes high temperature supercritical cycle operating mode impractical.  </w:t>
      </w:r>
    </w:p>
    <w:p w:rsidR="0051724E" w:rsidRDefault="0051724E" w:rsidP="0051724E">
      <w:pPr>
        <w:jc w:val="both"/>
      </w:pPr>
      <w:r>
        <w:t xml:space="preserve">Flash expansion using dense organic fluids like </w:t>
      </w:r>
      <w:proofErr w:type="spellStart"/>
      <w:r>
        <w:t>R30</w:t>
      </w:r>
      <w:proofErr w:type="spellEnd"/>
      <w:r>
        <w:t xml:space="preserve"> can reduce the expansion </w:t>
      </w:r>
      <w:proofErr w:type="spellStart"/>
      <w:r>
        <w:t>VFR</w:t>
      </w:r>
      <w:proofErr w:type="spellEnd"/>
      <w:r>
        <w:t xml:space="preserve"> by a factor of 15 when compared to water. Nonetheless, the </w:t>
      </w:r>
      <w:proofErr w:type="spellStart"/>
      <w:r>
        <w:t>VFR</w:t>
      </w:r>
      <w:proofErr w:type="spellEnd"/>
      <w:r>
        <w:t xml:space="preserve"> will still be 4 times of those seen with minimum superheated expansion using </w:t>
      </w:r>
      <w:proofErr w:type="spellStart"/>
      <w:r>
        <w:t>R30</w:t>
      </w:r>
      <w:proofErr w:type="spellEnd"/>
      <w:r>
        <w:t xml:space="preserve">. To address the drawback of water’s large latent heat on overall conversion efficiency, wet expansion was considered. With an optimum inlet dryness fraction of the order of 0.45-0.5, the cycle resulted in approximately 18% higher net power when the fluid enters the expander as superheated </w:t>
      </w:r>
      <w:proofErr w:type="spellStart"/>
      <w:r>
        <w:t>vapour</w:t>
      </w:r>
      <w:proofErr w:type="spellEnd"/>
      <w:r>
        <w:t xml:space="preserve"> in a minimum superheat cycle. However, flash and wet expansion mode implies that the expansions </w:t>
      </w:r>
      <w:proofErr w:type="spellStart"/>
      <w:r>
        <w:t>VFR</w:t>
      </w:r>
      <w:proofErr w:type="spellEnd"/>
      <w:r>
        <w:t xml:space="preserve"> in the expander </w:t>
      </w:r>
      <w:proofErr w:type="gramStart"/>
      <w:r>
        <w:t>are</w:t>
      </w:r>
      <w:proofErr w:type="gramEnd"/>
      <w:r>
        <w:t xml:space="preserve"> very large, resulting in big and expensive machines and expander design problems.</w:t>
      </w:r>
    </w:p>
    <w:p w:rsidR="0051724E" w:rsidRDefault="0051724E" w:rsidP="0051724E">
      <w:pPr>
        <w:jc w:val="both"/>
      </w:pPr>
      <w:r>
        <w:t xml:space="preserve">Dry saturated expansion (for </w:t>
      </w:r>
      <w:proofErr w:type="spellStart"/>
      <w:r>
        <w:t>R1130</w:t>
      </w:r>
      <w:proofErr w:type="spellEnd"/>
      <w:r>
        <w:t xml:space="preserve"> and acetone) and minimum superheat expansion (for </w:t>
      </w:r>
      <w:proofErr w:type="spellStart"/>
      <w:r>
        <w:t>R30</w:t>
      </w:r>
      <w:proofErr w:type="spellEnd"/>
      <w:r>
        <w:t xml:space="preserve">) with slightly subcritical evaporator pressure limits were found to be optimal when considering performance and system trade-off to achieve a better integration with a </w:t>
      </w:r>
      <w:proofErr w:type="spellStart"/>
      <w:r>
        <w:t>HDDE</w:t>
      </w:r>
      <w:proofErr w:type="spellEnd"/>
      <w:r>
        <w:t xml:space="preserve">. </w:t>
      </w:r>
      <w:r w:rsidRPr="00171056">
        <w:t xml:space="preserve">For </w:t>
      </w:r>
      <w:proofErr w:type="spellStart"/>
      <w:r w:rsidRPr="00171056">
        <w:t>EGR</w:t>
      </w:r>
      <w:proofErr w:type="spellEnd"/>
      <w:r w:rsidRPr="00171056">
        <w:t xml:space="preserve"> and </w:t>
      </w:r>
      <w:proofErr w:type="spellStart"/>
      <w:r w:rsidRPr="00171056">
        <w:t>CAC</w:t>
      </w:r>
      <w:proofErr w:type="spellEnd"/>
      <w:r w:rsidRPr="00171056">
        <w:t xml:space="preserve"> heat recovery, acetone showed the maximum </w:t>
      </w:r>
      <w:proofErr w:type="spellStart"/>
      <w:r w:rsidRPr="00171056">
        <w:t>BSFC</w:t>
      </w:r>
      <w:proofErr w:type="spellEnd"/>
      <w:r w:rsidRPr="00171056">
        <w:t xml:space="preserve"> improvement potential of 13.83% for an </w:t>
      </w:r>
      <w:proofErr w:type="spellStart"/>
      <w:r w:rsidRPr="00171056">
        <w:t>EGR</w:t>
      </w:r>
      <w:proofErr w:type="spellEnd"/>
      <w:r w:rsidRPr="00171056">
        <w:t xml:space="preserve"> only engine at </w:t>
      </w:r>
      <w:proofErr w:type="spellStart"/>
      <w:r w:rsidRPr="00171056">
        <w:t>C100</w:t>
      </w:r>
      <w:proofErr w:type="spellEnd"/>
      <w:r w:rsidRPr="00171056">
        <w:t>. With low pressure ratios</w:t>
      </w:r>
      <w:r w:rsidR="00AF1004">
        <w:t xml:space="preserve"> and volume flow ratios</w:t>
      </w:r>
      <w:r w:rsidRPr="00171056">
        <w:t xml:space="preserve">, </w:t>
      </w:r>
      <w:proofErr w:type="spellStart"/>
      <w:r w:rsidRPr="00171056">
        <w:t>R30</w:t>
      </w:r>
      <w:proofErr w:type="spellEnd"/>
      <w:r w:rsidRPr="00171056">
        <w:t xml:space="preserve"> may allow the use of a piston expander. An </w:t>
      </w:r>
      <w:proofErr w:type="spellStart"/>
      <w:r w:rsidRPr="00171056">
        <w:t>R30</w:t>
      </w:r>
      <w:proofErr w:type="spellEnd"/>
      <w:r w:rsidRPr="00171056">
        <w:t xml:space="preserve"> BC with a maximum cycle pressure of 45 bar provided </w:t>
      </w:r>
      <w:proofErr w:type="spellStart"/>
      <w:r w:rsidRPr="00171056">
        <w:t>BSFC</w:t>
      </w:r>
      <w:proofErr w:type="spellEnd"/>
      <w:r w:rsidRPr="00171056">
        <w:t xml:space="preserve"> improvements of 10.01 and 12.41%, 6.66 and 6.64% for </w:t>
      </w:r>
      <w:proofErr w:type="spellStart"/>
      <w:r w:rsidRPr="00171056">
        <w:t>EGR</w:t>
      </w:r>
      <w:proofErr w:type="spellEnd"/>
      <w:r w:rsidRPr="00171056">
        <w:t xml:space="preserve"> only and </w:t>
      </w:r>
      <w:proofErr w:type="spellStart"/>
      <w:r w:rsidRPr="00171056">
        <w:t>EGR</w:t>
      </w:r>
      <w:proofErr w:type="spellEnd"/>
      <w:r w:rsidRPr="00171056">
        <w:t xml:space="preserve"> focused engine at </w:t>
      </w:r>
      <w:proofErr w:type="spellStart"/>
      <w:r w:rsidRPr="00171056">
        <w:t>B50</w:t>
      </w:r>
      <w:proofErr w:type="spellEnd"/>
      <w:r w:rsidRPr="00171056">
        <w:t xml:space="preserve"> and </w:t>
      </w:r>
      <w:proofErr w:type="spellStart"/>
      <w:r w:rsidRPr="00171056">
        <w:t>C100</w:t>
      </w:r>
      <w:proofErr w:type="spellEnd"/>
      <w:r w:rsidRPr="00171056">
        <w:t>, respectively.</w:t>
      </w:r>
    </w:p>
    <w:p w:rsidR="0051724E" w:rsidRDefault="0051724E" w:rsidP="0051724E">
      <w:pPr>
        <w:pStyle w:val="Head1"/>
      </w:pPr>
      <w:r>
        <w:t>References</w:t>
      </w:r>
    </w:p>
    <w:p w:rsidR="0051724E" w:rsidRPr="0068459E" w:rsidRDefault="0051724E" w:rsidP="0051724E">
      <w:pPr>
        <w:pStyle w:val="NormalTableText"/>
        <w:ind w:left="426" w:hanging="426"/>
        <w:jc w:val="both"/>
        <w:rPr>
          <w:noProof/>
          <w:szCs w:val="20"/>
        </w:rPr>
      </w:pPr>
      <w:bookmarkStart w:id="1" w:name="_ENREF_1"/>
      <w:r w:rsidRPr="0068459E">
        <w:rPr>
          <w:noProof/>
          <w:szCs w:val="20"/>
        </w:rPr>
        <w:t>1.</w:t>
      </w:r>
      <w:r w:rsidRPr="0068459E">
        <w:rPr>
          <w:noProof/>
          <w:szCs w:val="20"/>
        </w:rPr>
        <w:tab/>
        <w:t xml:space="preserve">Nelson, C., R. Gravel, and C. Maronde, </w:t>
      </w:r>
      <w:r w:rsidR="009C5EAF">
        <w:rPr>
          <w:noProof/>
          <w:szCs w:val="20"/>
        </w:rPr>
        <w:t>“</w:t>
      </w:r>
      <w:r w:rsidRPr="0068459E">
        <w:rPr>
          <w:noProof/>
          <w:szCs w:val="20"/>
        </w:rPr>
        <w:t>Heavy-Duty Truck Engine Program</w:t>
      </w:r>
      <w:r w:rsidR="009C5EAF">
        <w:rPr>
          <w:noProof/>
          <w:szCs w:val="20"/>
        </w:rPr>
        <w:t>”</w:t>
      </w:r>
      <w:r w:rsidRPr="0068459E">
        <w:rPr>
          <w:noProof/>
          <w:szCs w:val="20"/>
        </w:rPr>
        <w:t xml:space="preserve">, in FY 2006 Annual Progress </w:t>
      </w:r>
      <w:r w:rsidRPr="0068459E">
        <w:rPr>
          <w:noProof/>
          <w:szCs w:val="20"/>
        </w:rPr>
        <w:lastRenderedPageBreak/>
        <w:t>Report, Advanced Combustion Engine Research and Development 2006.</w:t>
      </w:r>
      <w:bookmarkEnd w:id="1"/>
    </w:p>
    <w:p w:rsidR="0051724E" w:rsidRPr="0068459E" w:rsidRDefault="0051724E" w:rsidP="0051724E">
      <w:pPr>
        <w:pStyle w:val="NormalTableText"/>
        <w:ind w:left="426" w:hanging="426"/>
        <w:jc w:val="both"/>
        <w:rPr>
          <w:noProof/>
          <w:szCs w:val="20"/>
        </w:rPr>
      </w:pPr>
      <w:bookmarkStart w:id="2" w:name="_ENREF_2"/>
      <w:r w:rsidRPr="0068459E">
        <w:rPr>
          <w:noProof/>
          <w:szCs w:val="20"/>
        </w:rPr>
        <w:t>2.</w:t>
      </w:r>
      <w:r w:rsidRPr="0068459E">
        <w:rPr>
          <w:noProof/>
          <w:szCs w:val="20"/>
        </w:rPr>
        <w:tab/>
        <w:t xml:space="preserve">Teng, H., G. Regner, and C. Cowland, </w:t>
      </w:r>
      <w:r w:rsidR="009C5EAF">
        <w:rPr>
          <w:noProof/>
          <w:szCs w:val="20"/>
        </w:rPr>
        <w:t>“</w:t>
      </w:r>
      <w:r w:rsidRPr="0068459E">
        <w:rPr>
          <w:noProof/>
          <w:szCs w:val="20"/>
        </w:rPr>
        <w:t>Achieving High Engine Efficiency for Heavy-Duty Diesel Engines by Waste Heat Recovery Using Supercritical Organic-Fluid Rankine Cycle</w:t>
      </w:r>
      <w:r w:rsidR="008B5567">
        <w:rPr>
          <w:noProof/>
          <w:szCs w:val="20"/>
        </w:rPr>
        <w:t>”</w:t>
      </w:r>
      <w:r w:rsidRPr="0068459E">
        <w:rPr>
          <w:noProof/>
          <w:szCs w:val="20"/>
        </w:rPr>
        <w:t>. SAE International 2006-01-3522, 2006, doi:10.4271/2006-01-3522.</w:t>
      </w:r>
      <w:bookmarkEnd w:id="2"/>
    </w:p>
    <w:p w:rsidR="0051724E" w:rsidRPr="0068459E" w:rsidRDefault="0051724E" w:rsidP="0051724E">
      <w:pPr>
        <w:pStyle w:val="NormalTableText"/>
        <w:ind w:left="426" w:hanging="426"/>
        <w:jc w:val="both"/>
        <w:rPr>
          <w:noProof/>
          <w:szCs w:val="20"/>
        </w:rPr>
      </w:pPr>
      <w:bookmarkStart w:id="3" w:name="_ENREF_3"/>
      <w:r w:rsidRPr="0068459E">
        <w:rPr>
          <w:noProof/>
          <w:szCs w:val="20"/>
        </w:rPr>
        <w:t>3.</w:t>
      </w:r>
      <w:r w:rsidRPr="0068459E">
        <w:rPr>
          <w:noProof/>
          <w:szCs w:val="20"/>
        </w:rPr>
        <w:tab/>
        <w:t xml:space="preserve">Nelson, C., R. Gravel, and C. Maronde, </w:t>
      </w:r>
      <w:r w:rsidR="009C5EAF">
        <w:rPr>
          <w:noProof/>
          <w:szCs w:val="20"/>
        </w:rPr>
        <w:t>“</w:t>
      </w:r>
      <w:r w:rsidRPr="0068459E">
        <w:rPr>
          <w:noProof/>
          <w:szCs w:val="20"/>
        </w:rPr>
        <w:t>Exhaust Energy Recovery</w:t>
      </w:r>
      <w:r w:rsidR="009C5EAF">
        <w:rPr>
          <w:noProof/>
          <w:szCs w:val="20"/>
        </w:rPr>
        <w:t>”</w:t>
      </w:r>
      <w:r w:rsidRPr="0068459E">
        <w:rPr>
          <w:noProof/>
          <w:szCs w:val="20"/>
        </w:rPr>
        <w:t>, in Advanced Combustion Engine Research and Development 2009.</w:t>
      </w:r>
      <w:bookmarkEnd w:id="3"/>
    </w:p>
    <w:p w:rsidR="0051724E" w:rsidRPr="0068459E" w:rsidRDefault="0051724E" w:rsidP="0051724E">
      <w:pPr>
        <w:pStyle w:val="NormalTableText"/>
        <w:ind w:left="426" w:hanging="426"/>
        <w:jc w:val="both"/>
        <w:rPr>
          <w:noProof/>
          <w:szCs w:val="20"/>
        </w:rPr>
      </w:pPr>
      <w:bookmarkStart w:id="4" w:name="_ENREF_4"/>
      <w:r w:rsidRPr="0068459E">
        <w:rPr>
          <w:noProof/>
          <w:szCs w:val="20"/>
        </w:rPr>
        <w:t>4.</w:t>
      </w:r>
      <w:r w:rsidRPr="0068459E">
        <w:rPr>
          <w:noProof/>
          <w:szCs w:val="20"/>
        </w:rPr>
        <w:tab/>
        <w:t xml:space="preserve">Park, T., et al., </w:t>
      </w:r>
      <w:r w:rsidR="009C5EAF">
        <w:rPr>
          <w:noProof/>
          <w:szCs w:val="20"/>
        </w:rPr>
        <w:t>“</w:t>
      </w:r>
      <w:r w:rsidRPr="0068459E">
        <w:rPr>
          <w:noProof/>
          <w:szCs w:val="20"/>
        </w:rPr>
        <w:t>A Rankine Cycle System for Recovering Waste Heat from HD Diesel Engines - Experimental Results</w:t>
      </w:r>
      <w:r w:rsidR="009C5EAF">
        <w:rPr>
          <w:noProof/>
          <w:szCs w:val="20"/>
        </w:rPr>
        <w:t>”</w:t>
      </w:r>
      <w:r w:rsidRPr="0068459E">
        <w:rPr>
          <w:noProof/>
          <w:szCs w:val="20"/>
        </w:rPr>
        <w:t>. SAE Technical Paper 2011-01-1337, 2011, doi:10.4271/2011-01-1337.</w:t>
      </w:r>
      <w:bookmarkEnd w:id="4"/>
    </w:p>
    <w:p w:rsidR="0051724E" w:rsidRPr="0068459E" w:rsidRDefault="0051724E" w:rsidP="0051724E">
      <w:pPr>
        <w:pStyle w:val="NormalTableText"/>
        <w:ind w:left="426" w:hanging="426"/>
        <w:jc w:val="both"/>
        <w:rPr>
          <w:noProof/>
          <w:szCs w:val="20"/>
        </w:rPr>
      </w:pPr>
      <w:bookmarkStart w:id="5" w:name="_ENREF_5"/>
      <w:r w:rsidRPr="0068459E">
        <w:rPr>
          <w:noProof/>
          <w:szCs w:val="20"/>
        </w:rPr>
        <w:t>5.</w:t>
      </w:r>
      <w:r w:rsidRPr="0068459E">
        <w:rPr>
          <w:noProof/>
          <w:szCs w:val="20"/>
        </w:rPr>
        <w:tab/>
        <w:t xml:space="preserve">Tai, C., et al., </w:t>
      </w:r>
      <w:r w:rsidR="009C5EAF">
        <w:rPr>
          <w:noProof/>
          <w:szCs w:val="20"/>
        </w:rPr>
        <w:t>“</w:t>
      </w:r>
      <w:r w:rsidRPr="0068459E">
        <w:rPr>
          <w:noProof/>
          <w:szCs w:val="20"/>
        </w:rPr>
        <w:t>Very High Fuel Economy, Heavy-Duty, Narrow-Speed Truck Engine Utilizing Biofuels and Hybrid Vehicle Technologies</w:t>
      </w:r>
      <w:r w:rsidR="009C5EAF">
        <w:rPr>
          <w:noProof/>
          <w:szCs w:val="20"/>
        </w:rPr>
        <w:t>”</w:t>
      </w:r>
      <w:r w:rsidRPr="0068459E">
        <w:rPr>
          <w:noProof/>
          <w:szCs w:val="20"/>
        </w:rPr>
        <w:t>, in FY Annual Progress Report, Advanced Combustion Engine Research and Development 2010, 2009.</w:t>
      </w:r>
      <w:bookmarkEnd w:id="5"/>
    </w:p>
    <w:p w:rsidR="0051724E" w:rsidRPr="0068459E" w:rsidRDefault="0051724E" w:rsidP="0051724E">
      <w:pPr>
        <w:pStyle w:val="NormalTableText"/>
        <w:ind w:left="426" w:hanging="426"/>
        <w:jc w:val="both"/>
        <w:rPr>
          <w:noProof/>
          <w:szCs w:val="20"/>
        </w:rPr>
      </w:pPr>
      <w:bookmarkStart w:id="6" w:name="_ENREF_6"/>
      <w:r w:rsidRPr="0068459E">
        <w:rPr>
          <w:noProof/>
          <w:szCs w:val="20"/>
        </w:rPr>
        <w:t>6.</w:t>
      </w:r>
      <w:r w:rsidRPr="0068459E">
        <w:rPr>
          <w:noProof/>
          <w:szCs w:val="20"/>
        </w:rPr>
        <w:tab/>
        <w:t xml:space="preserve">Cooper, C., et al., </w:t>
      </w:r>
      <w:r w:rsidR="009C5EAF">
        <w:rPr>
          <w:noProof/>
          <w:szCs w:val="20"/>
        </w:rPr>
        <w:t>“</w:t>
      </w:r>
      <w:r w:rsidRPr="0068459E">
        <w:rPr>
          <w:noProof/>
          <w:szCs w:val="20"/>
        </w:rPr>
        <w:t>Reducing Heavy-Duty Long Haul Combination Truck Fuel Consumption and CO</w:t>
      </w:r>
      <w:r w:rsidRPr="009C5EAF">
        <w:rPr>
          <w:noProof/>
          <w:szCs w:val="20"/>
          <w:vertAlign w:val="subscript"/>
        </w:rPr>
        <w:t>2</w:t>
      </w:r>
      <w:r w:rsidRPr="0068459E">
        <w:rPr>
          <w:noProof/>
          <w:szCs w:val="20"/>
        </w:rPr>
        <w:t xml:space="preserve"> Emissions</w:t>
      </w:r>
      <w:r w:rsidR="009C5EAF">
        <w:rPr>
          <w:noProof/>
          <w:szCs w:val="20"/>
        </w:rPr>
        <w:t>”</w:t>
      </w:r>
      <w:r w:rsidRPr="0068459E">
        <w:rPr>
          <w:noProof/>
          <w:szCs w:val="20"/>
        </w:rPr>
        <w:t>, P. Miller, Editor 2009, NESCCAF; ICCT; SwRI; TIAX, LLC.</w:t>
      </w:r>
      <w:bookmarkEnd w:id="6"/>
    </w:p>
    <w:p w:rsidR="0051724E" w:rsidRPr="0068459E" w:rsidRDefault="0051724E" w:rsidP="0051724E">
      <w:pPr>
        <w:pStyle w:val="NormalTableText"/>
        <w:ind w:left="426" w:hanging="426"/>
        <w:jc w:val="both"/>
        <w:rPr>
          <w:noProof/>
          <w:szCs w:val="20"/>
        </w:rPr>
      </w:pPr>
      <w:bookmarkStart w:id="7" w:name="_ENREF_7"/>
      <w:r w:rsidRPr="0068459E">
        <w:rPr>
          <w:noProof/>
          <w:szCs w:val="20"/>
        </w:rPr>
        <w:t>7.</w:t>
      </w:r>
      <w:r w:rsidRPr="0068459E">
        <w:rPr>
          <w:noProof/>
          <w:szCs w:val="20"/>
        </w:rPr>
        <w:tab/>
        <w:t xml:space="preserve">LaGrandeur, J., et al., </w:t>
      </w:r>
      <w:r w:rsidR="009C5EAF">
        <w:rPr>
          <w:noProof/>
          <w:szCs w:val="20"/>
        </w:rPr>
        <w:t>“</w:t>
      </w:r>
      <w:r w:rsidRPr="0068459E">
        <w:rPr>
          <w:noProof/>
          <w:szCs w:val="20"/>
        </w:rPr>
        <w:t>High-Efficiency Thermoelectric Waste Energy Recovery System for Passenger Vehicle Applications</w:t>
      </w:r>
      <w:r w:rsidR="009C5EAF">
        <w:rPr>
          <w:noProof/>
          <w:szCs w:val="20"/>
        </w:rPr>
        <w:t>”</w:t>
      </w:r>
      <w:r w:rsidRPr="0068459E">
        <w:rPr>
          <w:noProof/>
          <w:szCs w:val="20"/>
        </w:rPr>
        <w:t>, in FY Annual Progress Report, Advanced Combustion Engine Technologies 2008, 2007.</w:t>
      </w:r>
      <w:bookmarkEnd w:id="7"/>
    </w:p>
    <w:p w:rsidR="0051724E" w:rsidRPr="0068459E" w:rsidRDefault="0051724E" w:rsidP="0051724E">
      <w:pPr>
        <w:pStyle w:val="NormalTableText"/>
        <w:ind w:left="426" w:hanging="426"/>
        <w:jc w:val="both"/>
        <w:rPr>
          <w:noProof/>
          <w:szCs w:val="20"/>
        </w:rPr>
      </w:pPr>
      <w:bookmarkStart w:id="8" w:name="_ENREF_8"/>
      <w:r w:rsidRPr="0068459E">
        <w:rPr>
          <w:noProof/>
          <w:szCs w:val="20"/>
        </w:rPr>
        <w:t>8.</w:t>
      </w:r>
      <w:r w:rsidRPr="0068459E">
        <w:rPr>
          <w:noProof/>
          <w:szCs w:val="20"/>
        </w:rPr>
        <w:tab/>
        <w:t xml:space="preserve">Schock, H., et al., </w:t>
      </w:r>
      <w:r w:rsidR="009C5EAF">
        <w:rPr>
          <w:noProof/>
          <w:szCs w:val="20"/>
        </w:rPr>
        <w:t>“</w:t>
      </w:r>
      <w:r w:rsidRPr="0068459E">
        <w:rPr>
          <w:noProof/>
          <w:szCs w:val="20"/>
        </w:rPr>
        <w:t>Thermoelectric Conversion of Waste Heat to Electricity in an Internal Combustion Engine Vehicle</w:t>
      </w:r>
      <w:r w:rsidR="009C5EAF">
        <w:rPr>
          <w:noProof/>
          <w:szCs w:val="20"/>
        </w:rPr>
        <w:t>”</w:t>
      </w:r>
      <w:r w:rsidRPr="0068459E">
        <w:rPr>
          <w:noProof/>
          <w:szCs w:val="20"/>
        </w:rPr>
        <w:t>, in FY Annual Progress Report, Advanced Combustion Engine Technologies 2008, 2006, 2005.</w:t>
      </w:r>
      <w:bookmarkEnd w:id="8"/>
    </w:p>
    <w:p w:rsidR="0051724E" w:rsidRPr="0068459E" w:rsidRDefault="0051724E" w:rsidP="0051724E">
      <w:pPr>
        <w:pStyle w:val="NormalTableText"/>
        <w:ind w:left="426" w:hanging="426"/>
        <w:jc w:val="both"/>
        <w:rPr>
          <w:noProof/>
          <w:szCs w:val="20"/>
        </w:rPr>
      </w:pPr>
      <w:bookmarkStart w:id="9" w:name="_ENREF_9"/>
      <w:r w:rsidRPr="0068459E">
        <w:rPr>
          <w:noProof/>
          <w:szCs w:val="20"/>
        </w:rPr>
        <w:t>9.</w:t>
      </w:r>
      <w:r w:rsidRPr="0068459E">
        <w:rPr>
          <w:noProof/>
          <w:szCs w:val="20"/>
        </w:rPr>
        <w:tab/>
        <w:t xml:space="preserve">Green Car Congress. </w:t>
      </w:r>
      <w:r w:rsidR="009C5EAF">
        <w:rPr>
          <w:noProof/>
          <w:szCs w:val="20"/>
        </w:rPr>
        <w:t>“</w:t>
      </w:r>
      <w:r w:rsidRPr="0068459E">
        <w:rPr>
          <w:noProof/>
          <w:szCs w:val="20"/>
        </w:rPr>
        <w:t>Daimler Trucks Introduces New Heavy-Duty Engine Platform for North America</w:t>
      </w:r>
      <w:r w:rsidR="009C5EAF">
        <w:rPr>
          <w:noProof/>
          <w:szCs w:val="20"/>
        </w:rPr>
        <w:t>:</w:t>
      </w:r>
      <w:r w:rsidRPr="0068459E">
        <w:rPr>
          <w:noProof/>
          <w:szCs w:val="20"/>
        </w:rPr>
        <w:t xml:space="preserve"> DD15 Improves Fuel Economy by 5%</w:t>
      </w:r>
      <w:r w:rsidR="009C5EAF">
        <w:rPr>
          <w:noProof/>
          <w:szCs w:val="20"/>
        </w:rPr>
        <w:t>”</w:t>
      </w:r>
      <w:r w:rsidRPr="0068459E">
        <w:rPr>
          <w:noProof/>
          <w:szCs w:val="20"/>
        </w:rPr>
        <w:t xml:space="preserve"> ; 2012.</w:t>
      </w:r>
      <w:bookmarkEnd w:id="9"/>
    </w:p>
    <w:p w:rsidR="0051724E" w:rsidRPr="0068459E" w:rsidRDefault="0051724E" w:rsidP="0051724E">
      <w:pPr>
        <w:pStyle w:val="NormalTableText"/>
        <w:ind w:left="426" w:hanging="426"/>
        <w:jc w:val="both"/>
        <w:rPr>
          <w:noProof/>
          <w:szCs w:val="20"/>
        </w:rPr>
      </w:pPr>
      <w:bookmarkStart w:id="10" w:name="_ENREF_10"/>
      <w:r w:rsidRPr="0068459E">
        <w:rPr>
          <w:noProof/>
          <w:szCs w:val="20"/>
        </w:rPr>
        <w:t>10.</w:t>
      </w:r>
      <w:r w:rsidRPr="0068459E">
        <w:rPr>
          <w:noProof/>
          <w:szCs w:val="20"/>
        </w:rPr>
        <w:tab/>
        <w:t xml:space="preserve">Hountalas, D.T. and G.C. Mavropoulos, </w:t>
      </w:r>
      <w:r w:rsidR="009C5EAF">
        <w:rPr>
          <w:noProof/>
          <w:szCs w:val="20"/>
        </w:rPr>
        <w:t>“</w:t>
      </w:r>
      <w:r w:rsidRPr="0068459E">
        <w:rPr>
          <w:noProof/>
          <w:szCs w:val="20"/>
        </w:rPr>
        <w:t>Potential for Improving HD Diesel Truck Engine Fuel Consumption Using Exhaust Heat Recovery Techniques</w:t>
      </w:r>
      <w:r w:rsidR="009C5EAF">
        <w:rPr>
          <w:noProof/>
          <w:szCs w:val="20"/>
        </w:rPr>
        <w:t>”</w:t>
      </w:r>
      <w:r w:rsidRPr="0068459E">
        <w:rPr>
          <w:noProof/>
          <w:szCs w:val="20"/>
        </w:rPr>
        <w:t>, New Trends in Technologies: Devices, Computer, Communication and Industrial Systems ISBN 978-953-307-212-8, 2010.</w:t>
      </w:r>
      <w:bookmarkEnd w:id="10"/>
    </w:p>
    <w:p w:rsidR="0051724E" w:rsidRPr="0068459E" w:rsidRDefault="0051724E" w:rsidP="0051724E">
      <w:pPr>
        <w:pStyle w:val="NormalTableText"/>
        <w:ind w:left="426" w:hanging="426"/>
        <w:jc w:val="both"/>
        <w:rPr>
          <w:noProof/>
          <w:szCs w:val="20"/>
        </w:rPr>
      </w:pPr>
      <w:bookmarkStart w:id="11" w:name="_ENREF_11"/>
      <w:r w:rsidRPr="0068459E">
        <w:rPr>
          <w:noProof/>
          <w:szCs w:val="20"/>
        </w:rPr>
        <w:t>11.</w:t>
      </w:r>
      <w:r w:rsidRPr="0068459E">
        <w:rPr>
          <w:noProof/>
          <w:szCs w:val="20"/>
        </w:rPr>
        <w:tab/>
        <w:t xml:space="preserve">Kruiswyk, R., J. Fairbanks, and C. Maronde, </w:t>
      </w:r>
      <w:r w:rsidR="009C5EAF">
        <w:rPr>
          <w:noProof/>
          <w:szCs w:val="20"/>
        </w:rPr>
        <w:t>“</w:t>
      </w:r>
      <w:r w:rsidRPr="0068459E">
        <w:rPr>
          <w:noProof/>
          <w:szCs w:val="20"/>
        </w:rPr>
        <w:t>An Engine System Approach to Exhaust Waste Heat Recovery</w:t>
      </w:r>
      <w:r w:rsidR="009C5EAF">
        <w:rPr>
          <w:noProof/>
          <w:szCs w:val="20"/>
        </w:rPr>
        <w:t>”</w:t>
      </w:r>
      <w:r w:rsidRPr="0068459E">
        <w:rPr>
          <w:noProof/>
          <w:szCs w:val="20"/>
        </w:rPr>
        <w:t>, in FY 2009 Annual Progress Report, Advanced Combustion Engine Research and Development 2009.</w:t>
      </w:r>
      <w:bookmarkEnd w:id="11"/>
    </w:p>
    <w:p w:rsidR="0051724E" w:rsidRPr="0068459E" w:rsidRDefault="0051724E" w:rsidP="0051724E">
      <w:pPr>
        <w:pStyle w:val="NormalTableText"/>
        <w:ind w:left="426" w:hanging="426"/>
        <w:jc w:val="both"/>
        <w:rPr>
          <w:noProof/>
          <w:szCs w:val="20"/>
        </w:rPr>
      </w:pPr>
      <w:bookmarkStart w:id="12" w:name="_ENREF_12"/>
      <w:r w:rsidRPr="0068459E">
        <w:rPr>
          <w:noProof/>
          <w:szCs w:val="20"/>
        </w:rPr>
        <w:t>12.</w:t>
      </w:r>
      <w:r w:rsidRPr="0068459E">
        <w:rPr>
          <w:noProof/>
          <w:szCs w:val="20"/>
        </w:rPr>
        <w:tab/>
        <w:t xml:space="preserve">Vuk, C.T., J. Fairbanks, and R. Nine, </w:t>
      </w:r>
      <w:r w:rsidR="009C5EAF">
        <w:rPr>
          <w:noProof/>
          <w:szCs w:val="20"/>
        </w:rPr>
        <w:t>“</w:t>
      </w:r>
      <w:r w:rsidRPr="0068459E">
        <w:rPr>
          <w:noProof/>
          <w:szCs w:val="20"/>
        </w:rPr>
        <w:t>Electrically Coupled Exhaust Energy Recovery System Using a Series Power Turbine Approach</w:t>
      </w:r>
      <w:r w:rsidR="009C5EAF">
        <w:rPr>
          <w:noProof/>
          <w:szCs w:val="20"/>
        </w:rPr>
        <w:t>”</w:t>
      </w:r>
      <w:r w:rsidRPr="0068459E">
        <w:rPr>
          <w:noProof/>
          <w:szCs w:val="20"/>
        </w:rPr>
        <w:t>, in FY Annual Progress Report, Advanced Combustion Engine Research and Development 2007, 2006.</w:t>
      </w:r>
      <w:bookmarkEnd w:id="12"/>
    </w:p>
    <w:p w:rsidR="0051724E" w:rsidRPr="0068459E" w:rsidRDefault="0051724E" w:rsidP="0051724E">
      <w:pPr>
        <w:pStyle w:val="NormalTableText"/>
        <w:ind w:left="426" w:hanging="426"/>
        <w:jc w:val="both"/>
        <w:rPr>
          <w:noProof/>
          <w:szCs w:val="20"/>
        </w:rPr>
      </w:pPr>
      <w:bookmarkStart w:id="13" w:name="_ENREF_13"/>
      <w:r w:rsidRPr="0068459E">
        <w:rPr>
          <w:noProof/>
          <w:szCs w:val="20"/>
        </w:rPr>
        <w:t>13.</w:t>
      </w:r>
      <w:r w:rsidRPr="0068459E">
        <w:rPr>
          <w:noProof/>
          <w:szCs w:val="20"/>
        </w:rPr>
        <w:tab/>
        <w:t xml:space="preserve">Schock, H., et al., </w:t>
      </w:r>
      <w:r w:rsidR="00416C31">
        <w:rPr>
          <w:noProof/>
          <w:szCs w:val="20"/>
        </w:rPr>
        <w:t>“</w:t>
      </w:r>
      <w:r w:rsidRPr="0068459E">
        <w:rPr>
          <w:noProof/>
          <w:szCs w:val="20"/>
        </w:rPr>
        <w:t>Thermoelectric Conversion of Waste Heat to Electricity in an Internal Combustion Engine Vehicle</w:t>
      </w:r>
      <w:r w:rsidR="00416C31">
        <w:rPr>
          <w:noProof/>
          <w:szCs w:val="20"/>
        </w:rPr>
        <w:t>”</w:t>
      </w:r>
      <w:r w:rsidRPr="0068459E">
        <w:rPr>
          <w:noProof/>
          <w:szCs w:val="20"/>
        </w:rPr>
        <w:t>, in FY Annual Progress Report, Advanced Combustion Engine Research and Development 2010, 2009.</w:t>
      </w:r>
      <w:bookmarkEnd w:id="13"/>
    </w:p>
    <w:p w:rsidR="0051724E" w:rsidRPr="0068459E" w:rsidRDefault="0051724E" w:rsidP="0051724E">
      <w:pPr>
        <w:pStyle w:val="NormalTableText"/>
        <w:ind w:left="426" w:hanging="426"/>
        <w:jc w:val="both"/>
        <w:rPr>
          <w:noProof/>
          <w:szCs w:val="20"/>
        </w:rPr>
      </w:pPr>
      <w:bookmarkStart w:id="14" w:name="_ENREF_14"/>
      <w:r w:rsidRPr="0068459E">
        <w:rPr>
          <w:noProof/>
          <w:szCs w:val="20"/>
        </w:rPr>
        <w:t>14.</w:t>
      </w:r>
      <w:r w:rsidRPr="0068459E">
        <w:rPr>
          <w:noProof/>
          <w:szCs w:val="20"/>
        </w:rPr>
        <w:tab/>
        <w:t xml:space="preserve">Stanton, D., R. Gravel, and C. Maronde, </w:t>
      </w:r>
      <w:r w:rsidR="00416C31">
        <w:rPr>
          <w:noProof/>
          <w:szCs w:val="20"/>
        </w:rPr>
        <w:t>“</w:t>
      </w:r>
      <w:r w:rsidRPr="0068459E">
        <w:rPr>
          <w:noProof/>
          <w:szCs w:val="20"/>
        </w:rPr>
        <w:t>Advanced Diesel Engine Technology Development for High Efficiency, Clean Combustion</w:t>
      </w:r>
      <w:r w:rsidR="00416C31">
        <w:rPr>
          <w:noProof/>
          <w:szCs w:val="20"/>
        </w:rPr>
        <w:t>”</w:t>
      </w:r>
      <w:r w:rsidRPr="0068459E">
        <w:rPr>
          <w:noProof/>
          <w:szCs w:val="20"/>
        </w:rPr>
        <w:t>, in FY 2009 Annual Progress Report, Advanced Combustion Engine Research and Development 2009.</w:t>
      </w:r>
      <w:bookmarkEnd w:id="14"/>
    </w:p>
    <w:p w:rsidR="0051724E" w:rsidRPr="0068459E" w:rsidRDefault="0051724E" w:rsidP="0051724E">
      <w:pPr>
        <w:pStyle w:val="NormalTableText"/>
        <w:ind w:left="426" w:hanging="426"/>
        <w:jc w:val="both"/>
        <w:rPr>
          <w:noProof/>
          <w:szCs w:val="20"/>
        </w:rPr>
      </w:pPr>
      <w:bookmarkStart w:id="15" w:name="_ENREF_15"/>
      <w:r w:rsidRPr="0068459E">
        <w:rPr>
          <w:noProof/>
          <w:szCs w:val="20"/>
        </w:rPr>
        <w:lastRenderedPageBreak/>
        <w:t>15.</w:t>
      </w:r>
      <w:r w:rsidRPr="0068459E">
        <w:rPr>
          <w:noProof/>
          <w:szCs w:val="20"/>
        </w:rPr>
        <w:tab/>
        <w:t xml:space="preserve">Cloudt, R., et al., </w:t>
      </w:r>
      <w:r w:rsidR="00416C31">
        <w:rPr>
          <w:noProof/>
          <w:szCs w:val="20"/>
        </w:rPr>
        <w:t>“</w:t>
      </w:r>
      <w:r w:rsidRPr="0068459E">
        <w:rPr>
          <w:noProof/>
          <w:szCs w:val="20"/>
        </w:rPr>
        <w:t>SCR-only concept for heavy-duty Euro-VI applications</w:t>
      </w:r>
      <w:r w:rsidR="00416C31">
        <w:rPr>
          <w:noProof/>
          <w:szCs w:val="20"/>
        </w:rPr>
        <w:t>”</w:t>
      </w:r>
      <w:r w:rsidRPr="0068459E">
        <w:rPr>
          <w:noProof/>
          <w:szCs w:val="20"/>
        </w:rPr>
        <w:t xml:space="preserve">, 2009: MTZ 09I2009 Vol 70 </w:t>
      </w:r>
      <w:bookmarkEnd w:id="15"/>
    </w:p>
    <w:p w:rsidR="0051724E" w:rsidRPr="0068459E" w:rsidRDefault="0051724E" w:rsidP="0051724E">
      <w:pPr>
        <w:pStyle w:val="NormalTableText"/>
        <w:ind w:left="426" w:hanging="426"/>
        <w:jc w:val="both"/>
        <w:rPr>
          <w:noProof/>
          <w:szCs w:val="20"/>
        </w:rPr>
      </w:pPr>
      <w:bookmarkStart w:id="16" w:name="_ENREF_16"/>
      <w:r w:rsidRPr="0068459E">
        <w:rPr>
          <w:noProof/>
          <w:szCs w:val="20"/>
        </w:rPr>
        <w:t>16.</w:t>
      </w:r>
      <w:r w:rsidRPr="0068459E">
        <w:rPr>
          <w:noProof/>
          <w:szCs w:val="20"/>
        </w:rPr>
        <w:tab/>
        <w:t xml:space="preserve">U.S. Department of Energy, </w:t>
      </w:r>
      <w:r w:rsidR="00416C31">
        <w:rPr>
          <w:noProof/>
          <w:szCs w:val="20"/>
        </w:rPr>
        <w:t>“</w:t>
      </w:r>
      <w:r w:rsidRPr="0068459E">
        <w:rPr>
          <w:noProof/>
          <w:szCs w:val="20"/>
        </w:rPr>
        <w:t>Advanced Combustion Engine Research and Development</w:t>
      </w:r>
      <w:r w:rsidR="00416C31">
        <w:rPr>
          <w:noProof/>
          <w:szCs w:val="20"/>
        </w:rPr>
        <w:t>”</w:t>
      </w:r>
      <w:r w:rsidRPr="0068459E">
        <w:rPr>
          <w:noProof/>
          <w:szCs w:val="20"/>
        </w:rPr>
        <w:t>, 2011, Energy Efficiency and Renewable Energy Vehicle Technologies Program.</w:t>
      </w:r>
      <w:bookmarkEnd w:id="16"/>
    </w:p>
    <w:p w:rsidR="0051724E" w:rsidRPr="0068459E" w:rsidRDefault="0051724E" w:rsidP="0051724E">
      <w:pPr>
        <w:pStyle w:val="NormalTableText"/>
        <w:ind w:left="426" w:hanging="426"/>
        <w:jc w:val="both"/>
        <w:rPr>
          <w:noProof/>
          <w:szCs w:val="20"/>
        </w:rPr>
      </w:pPr>
      <w:bookmarkStart w:id="17" w:name="_ENREF_17"/>
      <w:r w:rsidRPr="0068459E">
        <w:rPr>
          <w:noProof/>
          <w:szCs w:val="20"/>
        </w:rPr>
        <w:t>17.</w:t>
      </w:r>
      <w:r w:rsidRPr="0068459E">
        <w:rPr>
          <w:noProof/>
          <w:szCs w:val="20"/>
        </w:rPr>
        <w:tab/>
        <w:t xml:space="preserve">National Academy of Sciences, Committee to Assess Fuel Economy Technologies for Medium and Heavy Duty Vehicles; National Research Council; Transportation Research Board, </w:t>
      </w:r>
      <w:r w:rsidR="00416C31">
        <w:rPr>
          <w:noProof/>
          <w:szCs w:val="20"/>
        </w:rPr>
        <w:t>“</w:t>
      </w:r>
      <w:r w:rsidRPr="0068459E">
        <w:rPr>
          <w:noProof/>
          <w:szCs w:val="20"/>
        </w:rPr>
        <w:t>Technologies and Approaches to Reducing the Fuel Consumption of Medium- and Heavy-Duty Vehicles</w:t>
      </w:r>
      <w:r w:rsidR="00416C31">
        <w:rPr>
          <w:noProof/>
          <w:szCs w:val="20"/>
        </w:rPr>
        <w:t>”.</w:t>
      </w:r>
      <w:r w:rsidRPr="0068459E">
        <w:rPr>
          <w:noProof/>
          <w:szCs w:val="20"/>
        </w:rPr>
        <w:t xml:space="preserve"> ISBN: 0-309-14983-5, 2010.</w:t>
      </w:r>
      <w:bookmarkEnd w:id="17"/>
    </w:p>
    <w:p w:rsidR="0051724E" w:rsidRPr="0068459E" w:rsidRDefault="0051724E" w:rsidP="0051724E">
      <w:pPr>
        <w:pStyle w:val="NormalTableText"/>
        <w:ind w:left="426" w:hanging="426"/>
        <w:jc w:val="both"/>
        <w:rPr>
          <w:noProof/>
          <w:szCs w:val="20"/>
        </w:rPr>
      </w:pPr>
      <w:bookmarkStart w:id="18" w:name="_ENREF_18"/>
      <w:r w:rsidRPr="0068459E">
        <w:rPr>
          <w:noProof/>
          <w:szCs w:val="20"/>
        </w:rPr>
        <w:t>18.</w:t>
      </w:r>
      <w:r w:rsidRPr="0068459E">
        <w:rPr>
          <w:noProof/>
          <w:szCs w:val="20"/>
        </w:rPr>
        <w:tab/>
        <w:t>Ricardo Software, WAVE Version 8.1, 2008.</w:t>
      </w:r>
      <w:bookmarkEnd w:id="18"/>
    </w:p>
    <w:p w:rsidR="0051724E" w:rsidRPr="0068459E" w:rsidRDefault="0051724E" w:rsidP="0051724E">
      <w:pPr>
        <w:pStyle w:val="NormalTableText"/>
        <w:ind w:left="426" w:hanging="426"/>
        <w:jc w:val="both"/>
        <w:rPr>
          <w:noProof/>
          <w:szCs w:val="20"/>
        </w:rPr>
      </w:pPr>
      <w:bookmarkStart w:id="19" w:name="_ENREF_19"/>
      <w:r w:rsidRPr="0068459E">
        <w:rPr>
          <w:noProof/>
          <w:szCs w:val="20"/>
        </w:rPr>
        <w:t>19.</w:t>
      </w:r>
      <w:r w:rsidRPr="0068459E">
        <w:rPr>
          <w:noProof/>
          <w:szCs w:val="20"/>
        </w:rPr>
        <w:tab/>
        <w:t xml:space="preserve">SHRL. GREEN 3, Centre for Automotive Engineering, University of Brighton. 2012; Available from: </w:t>
      </w:r>
      <w:r w:rsidRPr="00DD659B">
        <w:rPr>
          <w:noProof/>
          <w:szCs w:val="20"/>
        </w:rPr>
        <w:t>http://www.brighton.ac.uk/shrl/projects/index.php</w:t>
      </w:r>
      <w:r w:rsidRPr="0068459E">
        <w:rPr>
          <w:noProof/>
          <w:szCs w:val="20"/>
        </w:rPr>
        <w:t>.</w:t>
      </w:r>
      <w:bookmarkEnd w:id="19"/>
    </w:p>
    <w:p w:rsidR="0051724E" w:rsidRPr="0068459E" w:rsidRDefault="0051724E" w:rsidP="0051724E">
      <w:pPr>
        <w:pStyle w:val="NormalTableText"/>
        <w:ind w:left="426" w:hanging="426"/>
        <w:jc w:val="both"/>
        <w:rPr>
          <w:noProof/>
          <w:szCs w:val="20"/>
        </w:rPr>
      </w:pPr>
      <w:bookmarkStart w:id="20" w:name="_ENREF_20"/>
      <w:r w:rsidRPr="0068459E">
        <w:rPr>
          <w:noProof/>
          <w:szCs w:val="20"/>
        </w:rPr>
        <w:t>20.</w:t>
      </w:r>
      <w:r w:rsidRPr="0068459E">
        <w:rPr>
          <w:noProof/>
          <w:szCs w:val="20"/>
        </w:rPr>
        <w:tab/>
        <w:t xml:space="preserve">Panesar, A.S., et al., </w:t>
      </w:r>
      <w:r w:rsidR="00416C31">
        <w:rPr>
          <w:noProof/>
          <w:szCs w:val="20"/>
        </w:rPr>
        <w:t>“</w:t>
      </w:r>
      <w:r w:rsidRPr="0068459E">
        <w:rPr>
          <w:noProof/>
          <w:szCs w:val="20"/>
        </w:rPr>
        <w:t>An investigation of bottoming cycle fluid selection on the potential efficiency improvements of a Euro 6 heavy duty Diesel engine</w:t>
      </w:r>
      <w:r w:rsidR="00416C31">
        <w:rPr>
          <w:noProof/>
          <w:szCs w:val="20"/>
        </w:rPr>
        <w:t>”</w:t>
      </w:r>
      <w:r w:rsidRPr="0068459E">
        <w:rPr>
          <w:noProof/>
          <w:szCs w:val="20"/>
        </w:rPr>
        <w:t>, in Vehicle Thermal Management Systems 11, 2013.</w:t>
      </w:r>
      <w:bookmarkEnd w:id="20"/>
    </w:p>
    <w:p w:rsidR="0051724E" w:rsidRPr="0068459E" w:rsidRDefault="0051724E" w:rsidP="0051724E">
      <w:pPr>
        <w:pStyle w:val="NormalTableText"/>
        <w:ind w:left="426" w:hanging="426"/>
        <w:jc w:val="both"/>
        <w:rPr>
          <w:noProof/>
          <w:szCs w:val="20"/>
        </w:rPr>
      </w:pPr>
      <w:bookmarkStart w:id="21" w:name="_ENREF_21"/>
      <w:r w:rsidRPr="0068459E">
        <w:rPr>
          <w:noProof/>
          <w:szCs w:val="20"/>
        </w:rPr>
        <w:t>21.</w:t>
      </w:r>
      <w:r w:rsidRPr="0068459E">
        <w:rPr>
          <w:noProof/>
          <w:szCs w:val="20"/>
        </w:rPr>
        <w:tab/>
        <w:t>Aspen Technology Software, HYSYS Version 7.3, 2011.</w:t>
      </w:r>
      <w:bookmarkEnd w:id="21"/>
    </w:p>
    <w:p w:rsidR="0051724E" w:rsidRPr="00416C31" w:rsidRDefault="0051724E" w:rsidP="0051724E">
      <w:pPr>
        <w:pStyle w:val="NormalTableText"/>
        <w:ind w:left="426" w:hanging="426"/>
        <w:jc w:val="both"/>
        <w:rPr>
          <w:noProof/>
          <w:szCs w:val="20"/>
        </w:rPr>
      </w:pPr>
      <w:bookmarkStart w:id="22" w:name="_ENREF_22"/>
      <w:r w:rsidRPr="0068459E">
        <w:rPr>
          <w:noProof/>
          <w:szCs w:val="20"/>
        </w:rPr>
        <w:t>22.</w:t>
      </w:r>
      <w:r w:rsidRPr="0068459E">
        <w:rPr>
          <w:noProof/>
          <w:szCs w:val="20"/>
        </w:rPr>
        <w:tab/>
        <w:t xml:space="preserve">Calm, J.M. and D.A. Didion, </w:t>
      </w:r>
      <w:r w:rsidR="00416C31">
        <w:rPr>
          <w:noProof/>
          <w:szCs w:val="20"/>
        </w:rPr>
        <w:t>“</w:t>
      </w:r>
      <w:r w:rsidRPr="0068459E">
        <w:rPr>
          <w:noProof/>
          <w:szCs w:val="20"/>
        </w:rPr>
        <w:t>Trade-offs in refrigerant selections: past, present, and future</w:t>
      </w:r>
      <w:r w:rsidR="00416C31">
        <w:rPr>
          <w:noProof/>
          <w:szCs w:val="20"/>
        </w:rPr>
        <w:t>”</w:t>
      </w:r>
      <w:r w:rsidRPr="0068459E">
        <w:rPr>
          <w:noProof/>
          <w:szCs w:val="20"/>
        </w:rPr>
        <w:t xml:space="preserve">. International Journal of Refrigeration, 1998. </w:t>
      </w:r>
      <w:r w:rsidRPr="00416C31">
        <w:rPr>
          <w:noProof/>
          <w:szCs w:val="20"/>
        </w:rPr>
        <w:t>21(4): p. 308-321, doi:10.1016/s0140-7007(97)00089-3.</w:t>
      </w:r>
      <w:bookmarkEnd w:id="22"/>
    </w:p>
    <w:p w:rsidR="0051724E" w:rsidRPr="00416C31" w:rsidRDefault="0051724E" w:rsidP="0051724E">
      <w:pPr>
        <w:pStyle w:val="NormalTableText"/>
        <w:ind w:left="426" w:hanging="426"/>
        <w:jc w:val="both"/>
        <w:rPr>
          <w:noProof/>
          <w:szCs w:val="20"/>
        </w:rPr>
      </w:pPr>
      <w:bookmarkStart w:id="23" w:name="_ENREF_23"/>
      <w:r w:rsidRPr="00416C31">
        <w:rPr>
          <w:noProof/>
          <w:szCs w:val="20"/>
        </w:rPr>
        <w:t>23.</w:t>
      </w:r>
      <w:r w:rsidRPr="00416C31">
        <w:rPr>
          <w:noProof/>
          <w:szCs w:val="20"/>
        </w:rPr>
        <w:tab/>
        <w:t xml:space="preserve">Welch, P. and P. Boyle, </w:t>
      </w:r>
      <w:r w:rsidR="00416C31">
        <w:rPr>
          <w:noProof/>
          <w:szCs w:val="20"/>
        </w:rPr>
        <w:t>“</w:t>
      </w:r>
      <w:r w:rsidRPr="00416C31">
        <w:rPr>
          <w:noProof/>
          <w:szCs w:val="20"/>
        </w:rPr>
        <w:t>New Turbines To Enable Efficient Geothermal Power Plants</w:t>
      </w:r>
      <w:r w:rsidR="00416C31">
        <w:rPr>
          <w:noProof/>
          <w:szCs w:val="20"/>
        </w:rPr>
        <w:t>”</w:t>
      </w:r>
      <w:r w:rsidRPr="00416C31">
        <w:rPr>
          <w:noProof/>
          <w:szCs w:val="20"/>
        </w:rPr>
        <w:t>, Presented at the Geothermal Resources Council, Annual Meeting, 4-7th October 2009, Reno, Nevada.</w:t>
      </w:r>
      <w:bookmarkEnd w:id="23"/>
    </w:p>
    <w:p w:rsidR="0051724E" w:rsidRPr="00416C31" w:rsidRDefault="0051724E" w:rsidP="0051724E">
      <w:pPr>
        <w:pStyle w:val="NormalTableText"/>
        <w:ind w:left="426" w:hanging="426"/>
        <w:jc w:val="both"/>
        <w:rPr>
          <w:noProof/>
          <w:szCs w:val="20"/>
        </w:rPr>
      </w:pPr>
      <w:bookmarkStart w:id="24" w:name="_ENREF_24"/>
      <w:r w:rsidRPr="00416C31">
        <w:rPr>
          <w:noProof/>
          <w:szCs w:val="20"/>
        </w:rPr>
        <w:t>24.</w:t>
      </w:r>
      <w:r w:rsidRPr="00416C31">
        <w:rPr>
          <w:noProof/>
          <w:szCs w:val="20"/>
        </w:rPr>
        <w:tab/>
        <w:t xml:space="preserve">Smith, I.K. and N. Stosic. </w:t>
      </w:r>
      <w:r w:rsidR="00416C31">
        <w:rPr>
          <w:noProof/>
          <w:szCs w:val="20"/>
        </w:rPr>
        <w:t>“</w:t>
      </w:r>
      <w:r w:rsidRPr="00416C31">
        <w:rPr>
          <w:noProof/>
          <w:szCs w:val="20"/>
        </w:rPr>
        <w:t>Steam as the Working Fluid for Power Recovery from Medium Temperature Heat Sources Using Positive Displacement Expanders</w:t>
      </w:r>
      <w:r w:rsidR="00416C31">
        <w:rPr>
          <w:noProof/>
          <w:szCs w:val="20"/>
        </w:rPr>
        <w:t>”</w:t>
      </w:r>
      <w:r w:rsidRPr="00416C31">
        <w:rPr>
          <w:noProof/>
          <w:szCs w:val="20"/>
        </w:rPr>
        <w:t>. Available from: Centre for Positive Displacement Compressor Technology,  http://www.staff.city.ac.uk/~sj376.</w:t>
      </w:r>
      <w:bookmarkEnd w:id="24"/>
    </w:p>
    <w:p w:rsidR="0051724E" w:rsidRPr="00416C31" w:rsidRDefault="0051724E" w:rsidP="0051724E">
      <w:pPr>
        <w:pStyle w:val="NormalTableText"/>
        <w:ind w:left="426" w:hanging="426"/>
        <w:jc w:val="both"/>
        <w:rPr>
          <w:noProof/>
          <w:szCs w:val="20"/>
        </w:rPr>
      </w:pPr>
      <w:bookmarkStart w:id="25" w:name="_ENREF_25"/>
      <w:r w:rsidRPr="00416C31">
        <w:rPr>
          <w:noProof/>
          <w:szCs w:val="20"/>
        </w:rPr>
        <w:t>25.</w:t>
      </w:r>
      <w:r w:rsidRPr="00416C31">
        <w:rPr>
          <w:noProof/>
          <w:szCs w:val="20"/>
        </w:rPr>
        <w:tab/>
        <w:t xml:space="preserve">Shengjun, Z., W. Huaixin, and G. Tao, </w:t>
      </w:r>
      <w:r w:rsidR="00416C31">
        <w:rPr>
          <w:noProof/>
          <w:szCs w:val="20"/>
        </w:rPr>
        <w:t>“</w:t>
      </w:r>
      <w:r w:rsidRPr="00416C31">
        <w:rPr>
          <w:noProof/>
          <w:szCs w:val="20"/>
        </w:rPr>
        <w:t>Performance comparison and parametric optimization of subcritical Organic Rankine Cycle (ORC) and transcritical power cycle system for low-temperature geothermal power generation</w:t>
      </w:r>
      <w:r w:rsidR="00416C31">
        <w:rPr>
          <w:noProof/>
          <w:szCs w:val="20"/>
        </w:rPr>
        <w:t>”</w:t>
      </w:r>
      <w:r w:rsidRPr="00416C31">
        <w:rPr>
          <w:noProof/>
          <w:szCs w:val="20"/>
        </w:rPr>
        <w:t>. Applied Energy, 2011. 88(8): p. 2740-2754, doi:10.1016/j.apenergy.2011.02.034.</w:t>
      </w:r>
      <w:bookmarkEnd w:id="25"/>
    </w:p>
    <w:p w:rsidR="0051724E" w:rsidRPr="00416C31" w:rsidRDefault="0051724E" w:rsidP="0051724E">
      <w:pPr>
        <w:pStyle w:val="NormalTableText"/>
        <w:ind w:left="426" w:hanging="426"/>
        <w:jc w:val="both"/>
        <w:rPr>
          <w:noProof/>
          <w:szCs w:val="20"/>
        </w:rPr>
      </w:pPr>
      <w:bookmarkStart w:id="26" w:name="_ENREF_26"/>
      <w:r w:rsidRPr="00416C31">
        <w:rPr>
          <w:noProof/>
          <w:szCs w:val="20"/>
        </w:rPr>
        <w:t>26.</w:t>
      </w:r>
      <w:r w:rsidRPr="00416C31">
        <w:rPr>
          <w:noProof/>
          <w:szCs w:val="20"/>
        </w:rPr>
        <w:tab/>
        <w:t xml:space="preserve">Chen, H., D.Y. Goswami, and E.K. Stefanakos, </w:t>
      </w:r>
      <w:r w:rsidR="00416C31">
        <w:rPr>
          <w:noProof/>
          <w:szCs w:val="20"/>
        </w:rPr>
        <w:t>“</w:t>
      </w:r>
      <w:r w:rsidRPr="00416C31">
        <w:rPr>
          <w:noProof/>
          <w:szCs w:val="20"/>
        </w:rPr>
        <w:t>A review of thermodynamic cycles and working fluids for the conversion of low-grade heat</w:t>
      </w:r>
      <w:r w:rsidR="00416C31">
        <w:rPr>
          <w:noProof/>
          <w:szCs w:val="20"/>
        </w:rPr>
        <w:t>”</w:t>
      </w:r>
      <w:r w:rsidRPr="00416C31">
        <w:rPr>
          <w:noProof/>
          <w:szCs w:val="20"/>
        </w:rPr>
        <w:t>. Renewable and Sustainable Energy Reviews, 2010. 14(9): p. 3059-3067, doi:10.1016/j.rser.2010.07.006.</w:t>
      </w:r>
      <w:bookmarkEnd w:id="26"/>
    </w:p>
    <w:p w:rsidR="0051724E" w:rsidRPr="00416C31" w:rsidRDefault="0051724E" w:rsidP="0051724E">
      <w:pPr>
        <w:pStyle w:val="NormalTableText"/>
        <w:ind w:left="426" w:hanging="426"/>
        <w:jc w:val="both"/>
        <w:rPr>
          <w:noProof/>
          <w:szCs w:val="20"/>
        </w:rPr>
      </w:pPr>
      <w:bookmarkStart w:id="27" w:name="_ENREF_27"/>
      <w:r w:rsidRPr="00416C31">
        <w:rPr>
          <w:noProof/>
          <w:szCs w:val="20"/>
        </w:rPr>
        <w:t>27.</w:t>
      </w:r>
      <w:r w:rsidRPr="00416C31">
        <w:rPr>
          <w:noProof/>
          <w:szCs w:val="20"/>
        </w:rPr>
        <w:tab/>
        <w:t xml:space="preserve">Gu, Z. and H. Sato, </w:t>
      </w:r>
      <w:r w:rsidR="00416C31">
        <w:rPr>
          <w:noProof/>
          <w:szCs w:val="20"/>
        </w:rPr>
        <w:t>“</w:t>
      </w:r>
      <w:r w:rsidRPr="00416C31">
        <w:rPr>
          <w:noProof/>
          <w:szCs w:val="20"/>
        </w:rPr>
        <w:t>Performance of supercritical cycles for geothermal binary design</w:t>
      </w:r>
      <w:r w:rsidR="00416C31">
        <w:rPr>
          <w:noProof/>
          <w:szCs w:val="20"/>
        </w:rPr>
        <w:t>”</w:t>
      </w:r>
      <w:r w:rsidRPr="00416C31">
        <w:rPr>
          <w:noProof/>
          <w:szCs w:val="20"/>
        </w:rPr>
        <w:t>. Energy Conversion and Management, 2002. 43(7): p. 961-971, doi:10.1016/s0196-8904(01)00082-6.</w:t>
      </w:r>
      <w:bookmarkEnd w:id="27"/>
    </w:p>
    <w:p w:rsidR="0051724E" w:rsidRPr="00416C31" w:rsidRDefault="0051724E" w:rsidP="0051724E">
      <w:pPr>
        <w:pStyle w:val="NormalTableText"/>
        <w:ind w:left="426" w:hanging="426"/>
        <w:jc w:val="both"/>
        <w:rPr>
          <w:noProof/>
          <w:szCs w:val="20"/>
        </w:rPr>
      </w:pPr>
      <w:bookmarkStart w:id="28" w:name="_ENREF_28"/>
      <w:r w:rsidRPr="00416C31">
        <w:rPr>
          <w:noProof/>
          <w:szCs w:val="20"/>
        </w:rPr>
        <w:t>28.</w:t>
      </w:r>
      <w:r w:rsidRPr="00416C31">
        <w:rPr>
          <w:noProof/>
          <w:szCs w:val="20"/>
        </w:rPr>
        <w:tab/>
        <w:t xml:space="preserve">Smith, I.K., N. Stosic, and A. Kovacevic. </w:t>
      </w:r>
      <w:r w:rsidR="00416C31">
        <w:rPr>
          <w:noProof/>
          <w:szCs w:val="20"/>
        </w:rPr>
        <w:t>“</w:t>
      </w:r>
      <w:r w:rsidRPr="00416C31">
        <w:rPr>
          <w:noProof/>
          <w:szCs w:val="20"/>
        </w:rPr>
        <w:t>Power Recovery From Low Cost Two-Phase Expanders</w:t>
      </w:r>
      <w:r w:rsidR="00416C31">
        <w:rPr>
          <w:noProof/>
          <w:szCs w:val="20"/>
        </w:rPr>
        <w:t>”</w:t>
      </w:r>
      <w:r w:rsidR="00266A94">
        <w:rPr>
          <w:noProof/>
          <w:szCs w:val="20"/>
        </w:rPr>
        <w:t>,</w:t>
      </w:r>
      <w:r w:rsidRPr="00416C31">
        <w:rPr>
          <w:noProof/>
          <w:szCs w:val="20"/>
        </w:rPr>
        <w:t xml:space="preserve"> in Geothermal Research Council Annual Meeting, August 2001, San Diego, CA.</w:t>
      </w:r>
      <w:bookmarkEnd w:id="28"/>
    </w:p>
    <w:p w:rsidR="0051724E" w:rsidRDefault="0051724E" w:rsidP="0051724E">
      <w:pPr>
        <w:pStyle w:val="NormalTableText"/>
        <w:jc w:val="both"/>
        <w:rPr>
          <w:noProof/>
          <w:sz w:val="28"/>
          <w:szCs w:val="20"/>
        </w:rPr>
      </w:pPr>
    </w:p>
    <w:p w:rsidR="0051724E" w:rsidRDefault="0051724E" w:rsidP="0051724E">
      <w:pPr>
        <w:pStyle w:val="Head1"/>
      </w:pPr>
      <w:r w:rsidRPr="00C92D12">
        <w:lastRenderedPageBreak/>
        <w:t xml:space="preserve"> </w:t>
      </w:r>
      <w:r>
        <w:t>DefinitionS/AbbreviationS</w:t>
      </w:r>
    </w:p>
    <w:tbl>
      <w:tblPr>
        <w:tblStyle w:val="BorderlessTable"/>
        <w:tblW w:w="4990" w:type="dxa"/>
        <w:tblLook w:val="01E0" w:firstRow="1" w:lastRow="1" w:firstColumn="1" w:lastColumn="1" w:noHBand="0" w:noVBand="0"/>
      </w:tblPr>
      <w:tblGrid>
        <w:gridCol w:w="1309"/>
        <w:gridCol w:w="3681"/>
      </w:tblGrid>
      <w:tr w:rsidR="0051724E" w:rsidRPr="00BA647B" w:rsidTr="00266A94">
        <w:tc>
          <w:tcPr>
            <w:tcW w:w="1309" w:type="dxa"/>
            <w:shd w:val="clear" w:color="auto" w:fill="auto"/>
          </w:tcPr>
          <w:p w:rsidR="0051724E" w:rsidRPr="00BA647B" w:rsidRDefault="0051724E" w:rsidP="00472F37">
            <w:pPr>
              <w:pStyle w:val="DefinitionTerm"/>
            </w:pPr>
            <w:r w:rsidRPr="00756456">
              <w:t>BC</w:t>
            </w:r>
          </w:p>
        </w:tc>
        <w:tc>
          <w:tcPr>
            <w:tcW w:w="3681" w:type="dxa"/>
            <w:shd w:val="clear" w:color="auto" w:fill="auto"/>
          </w:tcPr>
          <w:p w:rsidR="0051724E" w:rsidRPr="00BA647B" w:rsidRDefault="0051724E" w:rsidP="00472F37">
            <w:pPr>
              <w:pStyle w:val="Definition"/>
              <w:spacing w:after="0"/>
              <w:ind w:left="0"/>
            </w:pPr>
            <w:r w:rsidRPr="00B115C3">
              <w:t>Bottoming Cycle</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BSFC</w:t>
            </w:r>
            <w:proofErr w:type="spellEnd"/>
          </w:p>
        </w:tc>
        <w:tc>
          <w:tcPr>
            <w:tcW w:w="3681" w:type="dxa"/>
            <w:shd w:val="clear" w:color="auto" w:fill="auto"/>
          </w:tcPr>
          <w:p w:rsidR="0051724E" w:rsidRPr="00BA647B" w:rsidRDefault="0051724E" w:rsidP="00472F37">
            <w:pPr>
              <w:pStyle w:val="Definition"/>
              <w:spacing w:after="0"/>
              <w:ind w:left="0"/>
            </w:pPr>
            <w:r w:rsidRPr="00B115C3">
              <w:t>Break Specific Fuel Consumption</w:t>
            </w:r>
          </w:p>
        </w:tc>
      </w:tr>
      <w:tr w:rsidR="0051724E" w:rsidRPr="00BA647B" w:rsidTr="00266A94">
        <w:tc>
          <w:tcPr>
            <w:tcW w:w="1309" w:type="dxa"/>
            <w:shd w:val="clear" w:color="auto" w:fill="auto"/>
          </w:tcPr>
          <w:p w:rsidR="0051724E" w:rsidRDefault="0051724E" w:rsidP="00472F37">
            <w:pPr>
              <w:pStyle w:val="DefinitionTerm"/>
            </w:pPr>
            <w:r w:rsidRPr="00756456">
              <w:t>P</w:t>
            </w:r>
            <w:r w:rsidRPr="00C03662">
              <w:rPr>
                <w:vertAlign w:val="subscript"/>
              </w:rPr>
              <w:t>c</w:t>
            </w:r>
          </w:p>
        </w:tc>
        <w:tc>
          <w:tcPr>
            <w:tcW w:w="3681" w:type="dxa"/>
            <w:shd w:val="clear" w:color="auto" w:fill="auto"/>
          </w:tcPr>
          <w:p w:rsidR="0051724E" w:rsidRPr="002B1648" w:rsidRDefault="0051724E" w:rsidP="00472F37">
            <w:pPr>
              <w:pStyle w:val="Definition"/>
              <w:spacing w:after="0"/>
              <w:ind w:left="0"/>
            </w:pPr>
            <w:r w:rsidRPr="00756456">
              <w:t>Critical pressure</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CAC</w:t>
            </w:r>
            <w:proofErr w:type="spellEnd"/>
          </w:p>
        </w:tc>
        <w:tc>
          <w:tcPr>
            <w:tcW w:w="3681" w:type="dxa"/>
            <w:shd w:val="clear" w:color="auto" w:fill="auto"/>
          </w:tcPr>
          <w:p w:rsidR="0051724E" w:rsidRPr="00BA647B" w:rsidRDefault="0051724E" w:rsidP="00472F37">
            <w:pPr>
              <w:pStyle w:val="Definition"/>
              <w:spacing w:after="0"/>
              <w:ind w:left="0"/>
            </w:pPr>
            <w:r w:rsidRPr="00756456">
              <w:t>Charge Air Cooler</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R30</w:t>
            </w:r>
            <w:proofErr w:type="spellEnd"/>
          </w:p>
        </w:tc>
        <w:tc>
          <w:tcPr>
            <w:tcW w:w="3681" w:type="dxa"/>
            <w:shd w:val="clear" w:color="auto" w:fill="auto"/>
          </w:tcPr>
          <w:p w:rsidR="0051724E" w:rsidRPr="00756456" w:rsidRDefault="0051724E" w:rsidP="00472F37">
            <w:pPr>
              <w:pStyle w:val="Definition"/>
              <w:spacing w:after="0"/>
              <w:ind w:left="0"/>
            </w:pPr>
            <w:r w:rsidRPr="00756456">
              <w:t>Dichloromethane</w:t>
            </w:r>
          </w:p>
        </w:tc>
      </w:tr>
      <w:tr w:rsidR="0051724E" w:rsidRPr="00BA647B" w:rsidTr="00266A94">
        <w:tc>
          <w:tcPr>
            <w:tcW w:w="1309" w:type="dxa"/>
            <w:shd w:val="clear" w:color="auto" w:fill="auto"/>
          </w:tcPr>
          <w:p w:rsidR="0051724E" w:rsidRDefault="0051724E" w:rsidP="00472F37">
            <w:pPr>
              <w:pStyle w:val="DefinitionTerm"/>
            </w:pPr>
            <w:proofErr w:type="spellStart"/>
            <w:r w:rsidRPr="00756456">
              <w:t>DPF</w:t>
            </w:r>
            <w:proofErr w:type="spellEnd"/>
          </w:p>
        </w:tc>
        <w:tc>
          <w:tcPr>
            <w:tcW w:w="3681" w:type="dxa"/>
            <w:shd w:val="clear" w:color="auto" w:fill="auto"/>
          </w:tcPr>
          <w:p w:rsidR="0051724E" w:rsidRPr="002B1648" w:rsidRDefault="0051724E" w:rsidP="00472F37">
            <w:pPr>
              <w:pStyle w:val="Definition"/>
              <w:spacing w:after="0"/>
              <w:ind w:left="0"/>
            </w:pPr>
            <w:r>
              <w:t>Diesel Particulate F</w:t>
            </w:r>
            <w:r w:rsidRPr="00756456">
              <w:t>ilter</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ETC</w:t>
            </w:r>
            <w:proofErr w:type="spellEnd"/>
          </w:p>
        </w:tc>
        <w:tc>
          <w:tcPr>
            <w:tcW w:w="3681" w:type="dxa"/>
            <w:shd w:val="clear" w:color="auto" w:fill="auto"/>
          </w:tcPr>
          <w:p w:rsidR="0051724E" w:rsidRPr="00BA647B" w:rsidRDefault="0051724E" w:rsidP="00472F37">
            <w:pPr>
              <w:pStyle w:val="Definition"/>
              <w:spacing w:after="0"/>
              <w:ind w:left="0"/>
            </w:pPr>
            <w:r w:rsidRPr="00756456">
              <w:t>Electrical-Turbo-Compounding</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EGR</w:t>
            </w:r>
            <w:proofErr w:type="spellEnd"/>
          </w:p>
        </w:tc>
        <w:tc>
          <w:tcPr>
            <w:tcW w:w="3681" w:type="dxa"/>
            <w:shd w:val="clear" w:color="auto" w:fill="auto"/>
          </w:tcPr>
          <w:p w:rsidR="0051724E" w:rsidRPr="00BA647B" w:rsidRDefault="0051724E" w:rsidP="00472F37">
            <w:pPr>
              <w:pStyle w:val="Definition"/>
              <w:spacing w:after="0"/>
              <w:ind w:left="0"/>
            </w:pPr>
            <w:r w:rsidRPr="00756456">
              <w:t>Exhaust Gas Recirculation cooler</w:t>
            </w:r>
          </w:p>
        </w:tc>
      </w:tr>
      <w:tr w:rsidR="0051724E" w:rsidRPr="00BA647B" w:rsidTr="00266A94">
        <w:tc>
          <w:tcPr>
            <w:tcW w:w="1309" w:type="dxa"/>
            <w:shd w:val="clear" w:color="auto" w:fill="auto"/>
          </w:tcPr>
          <w:p w:rsidR="0051724E" w:rsidRDefault="0051724E" w:rsidP="00472F37">
            <w:pPr>
              <w:pStyle w:val="DefinitionTerm"/>
            </w:pPr>
            <w:proofErr w:type="spellStart"/>
            <w:r w:rsidRPr="00756456">
              <w:t>HDDE</w:t>
            </w:r>
            <w:proofErr w:type="spellEnd"/>
          </w:p>
        </w:tc>
        <w:tc>
          <w:tcPr>
            <w:tcW w:w="3681" w:type="dxa"/>
            <w:shd w:val="clear" w:color="auto" w:fill="auto"/>
          </w:tcPr>
          <w:p w:rsidR="0051724E" w:rsidRPr="002B1648" w:rsidRDefault="0051724E" w:rsidP="00472F37">
            <w:pPr>
              <w:pStyle w:val="Definition"/>
              <w:spacing w:after="0"/>
              <w:ind w:left="0"/>
            </w:pPr>
            <w:r w:rsidRPr="00756456">
              <w:t>Heavy Duty Diesel Engine</w:t>
            </w:r>
          </w:p>
        </w:tc>
      </w:tr>
      <w:tr w:rsidR="0051724E" w:rsidRPr="00BA647B" w:rsidTr="00266A94">
        <w:tc>
          <w:tcPr>
            <w:tcW w:w="1309" w:type="dxa"/>
            <w:shd w:val="clear" w:color="auto" w:fill="auto"/>
          </w:tcPr>
          <w:p w:rsidR="0051724E" w:rsidRPr="00BA647B" w:rsidRDefault="0051724E" w:rsidP="00472F37">
            <w:pPr>
              <w:pStyle w:val="DefinitionTerm"/>
            </w:pPr>
            <w:r w:rsidRPr="00756456">
              <w:t>L</w:t>
            </w:r>
          </w:p>
        </w:tc>
        <w:tc>
          <w:tcPr>
            <w:tcW w:w="3681" w:type="dxa"/>
            <w:shd w:val="clear" w:color="auto" w:fill="auto"/>
          </w:tcPr>
          <w:p w:rsidR="0051724E" w:rsidRPr="00BA647B" w:rsidRDefault="0051724E" w:rsidP="00472F37">
            <w:pPr>
              <w:pStyle w:val="Definition"/>
              <w:spacing w:after="0"/>
              <w:ind w:left="0"/>
            </w:pPr>
            <w:proofErr w:type="spellStart"/>
            <w:r w:rsidRPr="00756456">
              <w:t>litre</w:t>
            </w:r>
            <w:proofErr w:type="spellEnd"/>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MTC</w:t>
            </w:r>
            <w:proofErr w:type="spellEnd"/>
          </w:p>
        </w:tc>
        <w:tc>
          <w:tcPr>
            <w:tcW w:w="3681" w:type="dxa"/>
            <w:shd w:val="clear" w:color="auto" w:fill="auto"/>
          </w:tcPr>
          <w:p w:rsidR="0051724E" w:rsidRPr="00BA647B" w:rsidRDefault="0051724E" w:rsidP="00472F37">
            <w:pPr>
              <w:pStyle w:val="Definition"/>
              <w:spacing w:after="0"/>
              <w:ind w:left="0"/>
            </w:pPr>
            <w:r w:rsidRPr="00756456">
              <w:t>Mechanical-Turbo-Compounding</w:t>
            </w:r>
          </w:p>
        </w:tc>
      </w:tr>
      <w:tr w:rsidR="0051724E" w:rsidRPr="00BA647B" w:rsidTr="00266A94">
        <w:tc>
          <w:tcPr>
            <w:tcW w:w="1309" w:type="dxa"/>
            <w:shd w:val="clear" w:color="auto" w:fill="auto"/>
          </w:tcPr>
          <w:p w:rsidR="0051724E" w:rsidRDefault="0051724E" w:rsidP="00472F37">
            <w:pPr>
              <w:pStyle w:val="DefinitionTerm"/>
            </w:pPr>
            <w:proofErr w:type="spellStart"/>
            <w:r w:rsidRPr="00756456">
              <w:t>ORC</w:t>
            </w:r>
            <w:proofErr w:type="spellEnd"/>
          </w:p>
        </w:tc>
        <w:tc>
          <w:tcPr>
            <w:tcW w:w="3681" w:type="dxa"/>
            <w:shd w:val="clear" w:color="auto" w:fill="auto"/>
          </w:tcPr>
          <w:p w:rsidR="0051724E" w:rsidRPr="002B1648" w:rsidRDefault="0051724E" w:rsidP="00472F37">
            <w:pPr>
              <w:pStyle w:val="Definition"/>
              <w:spacing w:after="0"/>
              <w:ind w:left="0"/>
            </w:pPr>
            <w:r w:rsidRPr="00756456">
              <w:t xml:space="preserve">Organic </w:t>
            </w:r>
            <w:proofErr w:type="spellStart"/>
            <w:r w:rsidRPr="00756456">
              <w:t>Rankine</w:t>
            </w:r>
            <w:proofErr w:type="spellEnd"/>
            <w:r w:rsidRPr="00756456">
              <w:t xml:space="preserve"> Cycle</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SCR</w:t>
            </w:r>
            <w:proofErr w:type="spellEnd"/>
          </w:p>
        </w:tc>
        <w:tc>
          <w:tcPr>
            <w:tcW w:w="3681" w:type="dxa"/>
            <w:shd w:val="clear" w:color="auto" w:fill="auto"/>
          </w:tcPr>
          <w:p w:rsidR="0051724E" w:rsidRPr="00BA647B" w:rsidRDefault="0051724E" w:rsidP="00472F37">
            <w:pPr>
              <w:pStyle w:val="Definition"/>
              <w:spacing w:after="0"/>
              <w:ind w:left="0"/>
            </w:pPr>
            <w:r w:rsidRPr="00756456">
              <w:t>Selective Catalytic Reduction</w:t>
            </w:r>
          </w:p>
        </w:tc>
      </w:tr>
      <w:tr w:rsidR="0051724E" w:rsidRPr="00BA647B" w:rsidTr="00266A94">
        <w:tc>
          <w:tcPr>
            <w:tcW w:w="1309" w:type="dxa"/>
            <w:shd w:val="clear" w:color="auto" w:fill="auto"/>
          </w:tcPr>
          <w:p w:rsidR="0051724E" w:rsidRPr="00BA647B" w:rsidRDefault="0051724E" w:rsidP="00472F37">
            <w:pPr>
              <w:pStyle w:val="DefinitionTerm"/>
            </w:pPr>
            <w:proofErr w:type="spellStart"/>
            <w:r w:rsidRPr="00756456">
              <w:t>R1130</w:t>
            </w:r>
            <w:proofErr w:type="spellEnd"/>
          </w:p>
        </w:tc>
        <w:tc>
          <w:tcPr>
            <w:tcW w:w="3681" w:type="dxa"/>
            <w:shd w:val="clear" w:color="auto" w:fill="auto"/>
          </w:tcPr>
          <w:p w:rsidR="0051724E" w:rsidRPr="00BA647B" w:rsidRDefault="0051724E" w:rsidP="00472F37">
            <w:pPr>
              <w:pStyle w:val="Definition"/>
              <w:spacing w:after="0"/>
              <w:ind w:left="0"/>
            </w:pPr>
            <w:r w:rsidRPr="00756456">
              <w:t>Trans-1,2-</w:t>
            </w:r>
            <w:proofErr w:type="spellStart"/>
            <w:r w:rsidRPr="00756456">
              <w:t>Dichloroethylene</w:t>
            </w:r>
            <w:proofErr w:type="spellEnd"/>
          </w:p>
        </w:tc>
      </w:tr>
      <w:tr w:rsidR="0051724E" w:rsidRPr="00BA647B" w:rsidTr="00266A94">
        <w:tc>
          <w:tcPr>
            <w:tcW w:w="1309" w:type="dxa"/>
            <w:shd w:val="clear" w:color="auto" w:fill="auto"/>
          </w:tcPr>
          <w:p w:rsidR="0051724E" w:rsidRDefault="0051724E" w:rsidP="00472F37">
            <w:pPr>
              <w:pStyle w:val="DefinitionTerm"/>
            </w:pPr>
            <w:proofErr w:type="spellStart"/>
            <w:r w:rsidRPr="00756456">
              <w:t>TFC</w:t>
            </w:r>
            <w:proofErr w:type="spellEnd"/>
          </w:p>
        </w:tc>
        <w:tc>
          <w:tcPr>
            <w:tcW w:w="3681" w:type="dxa"/>
            <w:shd w:val="clear" w:color="auto" w:fill="auto"/>
          </w:tcPr>
          <w:p w:rsidR="0051724E" w:rsidRPr="002B1648" w:rsidRDefault="0051724E" w:rsidP="00472F37">
            <w:pPr>
              <w:pStyle w:val="Definition"/>
              <w:spacing w:after="0"/>
              <w:ind w:left="0"/>
            </w:pPr>
            <w:r w:rsidRPr="00756456">
              <w:t>Trilateral Flash Cycle</w:t>
            </w:r>
          </w:p>
        </w:tc>
      </w:tr>
      <w:tr w:rsidR="0051724E" w:rsidRPr="00BA647B" w:rsidTr="00266A94">
        <w:tc>
          <w:tcPr>
            <w:tcW w:w="1309" w:type="dxa"/>
            <w:shd w:val="clear" w:color="auto" w:fill="auto"/>
          </w:tcPr>
          <w:p w:rsidR="0051724E" w:rsidRDefault="0051724E" w:rsidP="00472F37">
            <w:pPr>
              <w:pStyle w:val="DefinitionTerm"/>
            </w:pPr>
            <w:r w:rsidRPr="00756456">
              <w:t>T/C</w:t>
            </w:r>
          </w:p>
        </w:tc>
        <w:tc>
          <w:tcPr>
            <w:tcW w:w="3681" w:type="dxa"/>
            <w:shd w:val="clear" w:color="auto" w:fill="auto"/>
          </w:tcPr>
          <w:p w:rsidR="0051724E" w:rsidRDefault="0051724E" w:rsidP="00472F37">
            <w:pPr>
              <w:pStyle w:val="Definition"/>
              <w:spacing w:after="0"/>
              <w:ind w:left="0"/>
            </w:pPr>
            <w:r w:rsidRPr="00756456">
              <w:t>Turbo-Charger</w:t>
            </w:r>
          </w:p>
        </w:tc>
      </w:tr>
      <w:tr w:rsidR="0051724E" w:rsidRPr="00BA647B" w:rsidTr="00266A94">
        <w:tc>
          <w:tcPr>
            <w:tcW w:w="1309" w:type="dxa"/>
            <w:shd w:val="clear" w:color="auto" w:fill="auto"/>
          </w:tcPr>
          <w:p w:rsidR="0051724E" w:rsidRDefault="0051724E" w:rsidP="00472F37">
            <w:pPr>
              <w:pStyle w:val="DefinitionTerm"/>
            </w:pPr>
            <w:proofErr w:type="spellStart"/>
            <w:r w:rsidRPr="00756456">
              <w:t>VFR</w:t>
            </w:r>
            <w:proofErr w:type="spellEnd"/>
          </w:p>
        </w:tc>
        <w:tc>
          <w:tcPr>
            <w:tcW w:w="3681" w:type="dxa"/>
            <w:shd w:val="clear" w:color="auto" w:fill="auto"/>
          </w:tcPr>
          <w:p w:rsidR="0051724E" w:rsidRDefault="0051724E" w:rsidP="00472F37">
            <w:pPr>
              <w:pStyle w:val="Definition"/>
              <w:spacing w:after="0"/>
              <w:ind w:left="0"/>
            </w:pPr>
            <w:r w:rsidRPr="00756456">
              <w:t>Volume Flow Ratio</w:t>
            </w:r>
          </w:p>
        </w:tc>
      </w:tr>
      <w:tr w:rsidR="0051724E" w:rsidRPr="00BA647B" w:rsidTr="00472F37">
        <w:tc>
          <w:tcPr>
            <w:tcW w:w="1309" w:type="dxa"/>
            <w:shd w:val="clear" w:color="auto" w:fill="auto"/>
          </w:tcPr>
          <w:p w:rsidR="0051724E" w:rsidRDefault="0051724E" w:rsidP="00472F37">
            <w:pPr>
              <w:pStyle w:val="DefinitionTerm"/>
            </w:pPr>
            <w:proofErr w:type="spellStart"/>
            <w:r w:rsidRPr="00756456">
              <w:t>WHR</w:t>
            </w:r>
            <w:proofErr w:type="spellEnd"/>
          </w:p>
        </w:tc>
        <w:tc>
          <w:tcPr>
            <w:tcW w:w="3681" w:type="dxa"/>
            <w:shd w:val="clear" w:color="auto" w:fill="auto"/>
          </w:tcPr>
          <w:p w:rsidR="0051724E" w:rsidRDefault="0051724E" w:rsidP="00472F37">
            <w:pPr>
              <w:pStyle w:val="Definition"/>
              <w:spacing w:after="0"/>
              <w:ind w:left="0"/>
            </w:pPr>
            <w:r w:rsidRPr="00756456">
              <w:t>Waste Heat Recovery</w:t>
            </w:r>
          </w:p>
        </w:tc>
      </w:tr>
    </w:tbl>
    <w:p w:rsidR="0051724E" w:rsidRDefault="0051724E" w:rsidP="0051724E"/>
    <w:p w:rsidR="001740B7" w:rsidRPr="00475110" w:rsidRDefault="001740B7" w:rsidP="0051724E">
      <w:pPr>
        <w:pStyle w:val="Head1"/>
        <w:rPr>
          <w:szCs w:val="20"/>
        </w:rPr>
      </w:pPr>
    </w:p>
    <w:sectPr w:rsidR="001740B7" w:rsidRPr="00475110" w:rsidSect="008F6DC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7D" w:rsidRDefault="0076127D" w:rsidP="00A418D3">
      <w:r>
        <w:separator/>
      </w:r>
    </w:p>
  </w:endnote>
  <w:endnote w:type="continuationSeparator" w:id="0">
    <w:p w:rsidR="0076127D" w:rsidRDefault="0076127D" w:rsidP="00A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D7" w:rsidRPr="009F7DCB" w:rsidRDefault="00FE69D7" w:rsidP="009F7DCB">
    <w:r w:rsidRPr="009F7DCB">
      <w:fldChar w:fldCharType="begin"/>
    </w:r>
    <w:r w:rsidRPr="009F7DCB">
      <w:instrText xml:space="preserve">PAGE  </w:instrText>
    </w:r>
    <w:r w:rsidRPr="009F7DCB">
      <w:fldChar w:fldCharType="end"/>
    </w:r>
  </w:p>
  <w:p w:rsidR="00FE69D7" w:rsidRDefault="00FE69D7" w:rsidP="00C621E9"/>
  <w:p w:rsidR="00FE69D7" w:rsidRDefault="00FE69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477"/>
      <w:docPartObj>
        <w:docPartGallery w:val="Page Numbers (Top of Page)"/>
        <w:docPartUnique/>
      </w:docPartObj>
    </w:sdtPr>
    <w:sdtEndPr/>
    <w:sdtContent>
      <w:p w:rsidR="00FE69D7" w:rsidRPr="00BF0C74" w:rsidRDefault="00FE69D7" w:rsidP="004676DD">
        <w:r w:rsidRPr="00BF0C74">
          <w:t xml:space="preserve">Page </w:t>
        </w:r>
        <w:r>
          <w:fldChar w:fldCharType="begin"/>
        </w:r>
        <w:r>
          <w:instrText xml:space="preserve"> PAGE </w:instrText>
        </w:r>
        <w:r>
          <w:fldChar w:fldCharType="separate"/>
        </w:r>
        <w:r w:rsidR="00C310B5">
          <w:rPr>
            <w:noProof/>
          </w:rPr>
          <w:t>1</w:t>
        </w:r>
        <w:r>
          <w:rPr>
            <w:noProof/>
          </w:rPr>
          <w:fldChar w:fldCharType="end"/>
        </w:r>
        <w:r w:rsidRPr="00BF0C74">
          <w:t xml:space="preserve"> of </w:t>
        </w:r>
        <w:r w:rsidR="0076127D">
          <w:fldChar w:fldCharType="begin"/>
        </w:r>
        <w:r w:rsidR="0076127D">
          <w:instrText xml:space="preserve"> NUMPAGES  </w:instrText>
        </w:r>
        <w:r w:rsidR="0076127D">
          <w:fldChar w:fldCharType="separate"/>
        </w:r>
        <w:r w:rsidR="00C310B5">
          <w:rPr>
            <w:noProof/>
          </w:rPr>
          <w:t>13</w:t>
        </w:r>
        <w:r w:rsidR="0076127D">
          <w:rPr>
            <w:noProof/>
          </w:rPr>
          <w:fldChar w:fldCharType="end"/>
        </w:r>
      </w:p>
    </w:sdtContent>
  </w:sdt>
  <w:p w:rsidR="00FE69D7" w:rsidRDefault="00FE69D7" w:rsidP="00A41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7D" w:rsidRDefault="0076127D" w:rsidP="00A418D3">
      <w:r>
        <w:separator/>
      </w:r>
    </w:p>
  </w:footnote>
  <w:footnote w:type="continuationSeparator" w:id="0">
    <w:p w:rsidR="0076127D" w:rsidRDefault="0076127D" w:rsidP="00A4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078CC"/>
    <w:lvl w:ilvl="0">
      <w:start w:val="1"/>
      <w:numFmt w:val="decimal"/>
      <w:lvlText w:val="%1."/>
      <w:lvlJc w:val="left"/>
      <w:pPr>
        <w:tabs>
          <w:tab w:val="num" w:pos="1800"/>
        </w:tabs>
        <w:ind w:left="1800" w:hanging="360"/>
      </w:pPr>
    </w:lvl>
  </w:abstractNum>
  <w:abstractNum w:abstractNumId="1">
    <w:nsid w:val="FFFFFF7D"/>
    <w:multiLevelType w:val="singleLevel"/>
    <w:tmpl w:val="6BE24B08"/>
    <w:lvl w:ilvl="0">
      <w:start w:val="1"/>
      <w:numFmt w:val="decimal"/>
      <w:lvlText w:val="%1."/>
      <w:lvlJc w:val="left"/>
      <w:pPr>
        <w:tabs>
          <w:tab w:val="num" w:pos="1440"/>
        </w:tabs>
        <w:ind w:left="1440" w:hanging="360"/>
      </w:pPr>
    </w:lvl>
  </w:abstractNum>
  <w:abstractNum w:abstractNumId="2">
    <w:nsid w:val="FFFFFF7E"/>
    <w:multiLevelType w:val="singleLevel"/>
    <w:tmpl w:val="A8C89122"/>
    <w:lvl w:ilvl="0">
      <w:start w:val="1"/>
      <w:numFmt w:val="decimal"/>
      <w:lvlText w:val="%1."/>
      <w:lvlJc w:val="left"/>
      <w:pPr>
        <w:tabs>
          <w:tab w:val="num" w:pos="1080"/>
        </w:tabs>
        <w:ind w:left="1080" w:hanging="360"/>
      </w:pPr>
    </w:lvl>
  </w:abstractNum>
  <w:abstractNum w:abstractNumId="3">
    <w:nsid w:val="FFFFFF7F"/>
    <w:multiLevelType w:val="singleLevel"/>
    <w:tmpl w:val="60CE3912"/>
    <w:lvl w:ilvl="0">
      <w:start w:val="1"/>
      <w:numFmt w:val="decimal"/>
      <w:lvlText w:val="%1."/>
      <w:lvlJc w:val="left"/>
      <w:pPr>
        <w:tabs>
          <w:tab w:val="num" w:pos="720"/>
        </w:tabs>
        <w:ind w:left="720" w:hanging="360"/>
      </w:pPr>
    </w:lvl>
  </w:abstractNum>
  <w:abstractNum w:abstractNumId="4">
    <w:nsid w:val="FFFFFF80"/>
    <w:multiLevelType w:val="singleLevel"/>
    <w:tmpl w:val="6BC28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E81D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2EB2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36E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F8F15E"/>
    <w:lvl w:ilvl="0">
      <w:start w:val="1"/>
      <w:numFmt w:val="decimal"/>
      <w:lvlText w:val="%1."/>
      <w:lvlJc w:val="left"/>
      <w:pPr>
        <w:tabs>
          <w:tab w:val="num" w:pos="360"/>
        </w:tabs>
        <w:ind w:left="360" w:hanging="360"/>
      </w:pPr>
    </w:lvl>
  </w:abstractNum>
  <w:abstractNum w:abstractNumId="9">
    <w:nsid w:val="FFFFFF89"/>
    <w:multiLevelType w:val="singleLevel"/>
    <w:tmpl w:val="A14C8C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DB3588"/>
    <w:multiLevelType w:val="multilevel"/>
    <w:tmpl w:val="E368B7EE"/>
    <w:lvl w:ilvl="0">
      <w:start w:val="1"/>
      <w:numFmt w:val="decimal"/>
      <w:lvlText w:val="%1."/>
      <w:legacy w:legacy="1" w:legacySpace="0" w:legacyIndent="360"/>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4">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08044512"/>
    <w:multiLevelType w:val="multilevel"/>
    <w:tmpl w:val="771A95AA"/>
    <w:lvl w:ilvl="0">
      <w:start w:val="1"/>
      <w:numFmt w:val="decimal"/>
      <w:pStyle w:val="List-Ordered-Numeric"/>
      <w:lvlText w:val="%1."/>
      <w:lvlJc w:val="left"/>
      <w:pPr>
        <w:ind w:left="360" w:hanging="360"/>
      </w:pPr>
      <w:rPr>
        <w:rFonts w:ascii="Times New Roman" w:hAnsi="Times New Roman"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7">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8">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9">
    <w:nsid w:val="1A8229D6"/>
    <w:multiLevelType w:val="multilevel"/>
    <w:tmpl w:val="E368B7EE"/>
    <w:lvl w:ilvl="0">
      <w:start w:val="1"/>
      <w:numFmt w:val="decimal"/>
      <w:lvlText w:val="%1."/>
      <w:legacy w:legacy="1" w:legacySpace="0" w:legacyIndent="360"/>
      <w:lvlJc w:val="left"/>
      <w:pPr>
        <w:ind w:left="36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1">
    <w:nsid w:val="1FD91193"/>
    <w:multiLevelType w:val="hybridMultilevel"/>
    <w:tmpl w:val="A9A0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nsid w:val="24AA584B"/>
    <w:multiLevelType w:val="multilevel"/>
    <w:tmpl w:val="E368B7EE"/>
    <w:lvl w:ilvl="0">
      <w:start w:val="1"/>
      <w:numFmt w:val="decimal"/>
      <w:lvlText w:val="%1."/>
      <w:legacy w:legacy="1" w:legacySpace="0" w:legacyIndent="360"/>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5">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6">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7">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8">
    <w:nsid w:val="38875CB0"/>
    <w:multiLevelType w:val="multilevel"/>
    <w:tmpl w:val="E368B7EE"/>
    <w:lvl w:ilvl="0">
      <w:start w:val="1"/>
      <w:numFmt w:val="decimal"/>
      <w:lvlText w:val="%1."/>
      <w:legacy w:legacy="1" w:legacySpace="0" w:legacyIndent="360"/>
      <w:lvlJc w:val="left"/>
      <w:pPr>
        <w:ind w:left="36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0D1981"/>
    <w:multiLevelType w:val="multilevel"/>
    <w:tmpl w:val="E368B7EE"/>
    <w:lvl w:ilvl="0">
      <w:start w:val="1"/>
      <w:numFmt w:val="decimal"/>
      <w:lvlText w:val="%1."/>
      <w:legacy w:legacy="1" w:legacySpace="0" w:legacyIndent="360"/>
      <w:lvlJc w:val="left"/>
      <w:pPr>
        <w:ind w:left="36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0C5ABA"/>
    <w:multiLevelType w:val="singleLevel"/>
    <w:tmpl w:val="A1B04AE0"/>
    <w:lvl w:ilvl="0">
      <w:start w:val="1"/>
      <w:numFmt w:val="decimal"/>
      <w:lvlText w:val="%1."/>
      <w:legacy w:legacy="1" w:legacySpace="0" w:legacyIndent="360"/>
      <w:lvlJc w:val="left"/>
      <w:pPr>
        <w:ind w:left="360" w:hanging="360"/>
      </w:pPr>
    </w:lvl>
  </w:abstractNum>
  <w:abstractNum w:abstractNumId="31">
    <w:nsid w:val="4E9C0A56"/>
    <w:multiLevelType w:val="singleLevel"/>
    <w:tmpl w:val="E368B7EE"/>
    <w:lvl w:ilvl="0">
      <w:start w:val="1"/>
      <w:numFmt w:val="decimal"/>
      <w:lvlText w:val="%1."/>
      <w:legacy w:legacy="1" w:legacySpace="0" w:legacyIndent="360"/>
      <w:lvlJc w:val="left"/>
      <w:pPr>
        <w:ind w:left="360" w:hanging="360"/>
      </w:pPr>
    </w:lvl>
  </w:abstractNum>
  <w:abstractNum w:abstractNumId="32">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3">
    <w:nsid w:val="5F922958"/>
    <w:multiLevelType w:val="multilevel"/>
    <w:tmpl w:val="E368B7EE"/>
    <w:lvl w:ilvl="0">
      <w:start w:val="1"/>
      <w:numFmt w:val="decimal"/>
      <w:lvlText w:val="%1."/>
      <w:legacy w:legacy="1" w:legacySpace="0" w:legacyIndent="360"/>
      <w:lvlJc w:val="left"/>
      <w:pPr>
        <w:ind w:left="36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BA4D4E"/>
    <w:multiLevelType w:val="multilevel"/>
    <w:tmpl w:val="E368B7EE"/>
    <w:lvl w:ilvl="0">
      <w:start w:val="1"/>
      <w:numFmt w:val="decimal"/>
      <w:lvlText w:val="%1."/>
      <w:legacy w:legacy="1" w:legacySpace="0" w:legacyIndent="360"/>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6">
    <w:nsid w:val="6DB50918"/>
    <w:multiLevelType w:val="hybridMultilevel"/>
    <w:tmpl w:val="290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02573"/>
    <w:multiLevelType w:val="multilevel"/>
    <w:tmpl w:val="E368B7EE"/>
    <w:lvl w:ilvl="0">
      <w:start w:val="1"/>
      <w:numFmt w:val="decimal"/>
      <w:lvlText w:val="%1."/>
      <w:legacy w:legacy="1" w:legacySpace="0" w:legacyIndent="360"/>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604DCD"/>
    <w:multiLevelType w:val="singleLevel"/>
    <w:tmpl w:val="E368B7EE"/>
    <w:lvl w:ilvl="0">
      <w:start w:val="1"/>
      <w:numFmt w:val="decimal"/>
      <w:lvlText w:val="%1."/>
      <w:lvlJc w:val="left"/>
      <w:pPr>
        <w:tabs>
          <w:tab w:val="num" w:pos="360"/>
        </w:tabs>
        <w:ind w:left="360" w:hanging="360"/>
      </w:pPr>
    </w:lvl>
  </w:abstractNum>
  <w:abstractNum w:abstractNumId="39">
    <w:nsid w:val="73997DC5"/>
    <w:multiLevelType w:val="singleLevel"/>
    <w:tmpl w:val="A1B04AE0"/>
    <w:lvl w:ilvl="0">
      <w:start w:val="1"/>
      <w:numFmt w:val="decimal"/>
      <w:lvlText w:val="%1."/>
      <w:legacy w:legacy="1" w:legacySpace="0" w:legacyIndent="360"/>
      <w:lvlJc w:val="left"/>
      <w:pPr>
        <w:ind w:left="360" w:hanging="360"/>
      </w:pPr>
    </w:lvl>
  </w:abstractNum>
  <w:abstractNum w:abstractNumId="40">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1">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42">
    <w:nsid w:val="77B11CDB"/>
    <w:multiLevelType w:val="singleLevel"/>
    <w:tmpl w:val="E368B7EE"/>
    <w:lvl w:ilvl="0">
      <w:start w:val="1"/>
      <w:numFmt w:val="decimal"/>
      <w:lvlText w:val="%1."/>
      <w:legacy w:legacy="1" w:legacySpace="0" w:legacyIndent="360"/>
      <w:lvlJc w:val="left"/>
      <w:pPr>
        <w:ind w:left="360" w:hanging="360"/>
      </w:pPr>
    </w:lvl>
  </w:abstractNum>
  <w:abstractNum w:abstractNumId="43">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4">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41"/>
  </w:num>
  <w:num w:numId="4">
    <w:abstractNumId w:val="1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18"/>
  </w:num>
  <w:num w:numId="6">
    <w:abstractNumId w:val="17"/>
  </w:num>
  <w:num w:numId="7">
    <w:abstractNumId w:val="12"/>
  </w:num>
  <w:num w:numId="8">
    <w:abstractNumId w:val="25"/>
  </w:num>
  <w:num w:numId="9">
    <w:abstractNumId w:val="43"/>
  </w:num>
  <w:num w:numId="10">
    <w:abstractNumId w:val="13"/>
  </w:num>
  <w:num w:numId="11">
    <w:abstractNumId w:val="35"/>
  </w:num>
  <w:num w:numId="12">
    <w:abstractNumId w:val="14"/>
  </w:num>
  <w:num w:numId="13">
    <w:abstractNumId w:val="32"/>
  </w:num>
  <w:num w:numId="14">
    <w:abstractNumId w:val="20"/>
  </w:num>
  <w:num w:numId="15">
    <w:abstractNumId w:val="39"/>
  </w:num>
  <w:num w:numId="16">
    <w:abstractNumId w:val="16"/>
  </w:num>
  <w:num w:numId="17">
    <w:abstractNumId w:val="40"/>
  </w:num>
  <w:num w:numId="18">
    <w:abstractNumId w:val="27"/>
  </w:num>
  <w:num w:numId="19">
    <w:abstractNumId w:val="45"/>
  </w:num>
  <w:num w:numId="20">
    <w:abstractNumId w:val="24"/>
  </w:num>
  <w:num w:numId="21">
    <w:abstractNumId w:val="22"/>
  </w:num>
  <w:num w:numId="22">
    <w:abstractNumId w:val="26"/>
  </w:num>
  <w:num w:numId="23">
    <w:abstractNumId w:val="38"/>
  </w:num>
  <w:num w:numId="24">
    <w:abstractNumId w:val="31"/>
  </w:num>
  <w:num w:numId="25">
    <w:abstractNumId w:val="10"/>
    <w:lvlOverride w:ilvl="0">
      <w:lvl w:ilvl="0">
        <w:start w:val="1"/>
        <w:numFmt w:val="bullet"/>
        <w:lvlText w:val=""/>
        <w:legacy w:legacy="1" w:legacySpace="0" w:legacyIndent="360"/>
        <w:lvlJc w:val="left"/>
        <w:pPr>
          <w:ind w:left="360" w:hanging="360"/>
        </w:pPr>
        <w:rPr>
          <w:rFonts w:ascii="Times" w:hAnsi="Times" w:hint="default"/>
        </w:rPr>
      </w:lvl>
    </w:lvlOverride>
  </w:num>
  <w:num w:numId="26">
    <w:abstractNumId w:val="42"/>
  </w:num>
  <w:num w:numId="27">
    <w:abstractNumId w:val="21"/>
  </w:num>
  <w:num w:numId="28">
    <w:abstractNumId w:val="19"/>
  </w:num>
  <w:num w:numId="29">
    <w:abstractNumId w:val="34"/>
  </w:num>
  <w:num w:numId="30">
    <w:abstractNumId w:val="33"/>
  </w:num>
  <w:num w:numId="31">
    <w:abstractNumId w:val="11"/>
  </w:num>
  <w:num w:numId="32">
    <w:abstractNumId w:val="23"/>
  </w:num>
  <w:num w:numId="33">
    <w:abstractNumId w:val="37"/>
  </w:num>
  <w:num w:numId="34">
    <w:abstractNumId w:val="28"/>
  </w:num>
  <w:num w:numId="35">
    <w:abstractNumId w:val="44"/>
  </w:num>
  <w:num w:numId="36">
    <w:abstractNumId w:val="36"/>
  </w:num>
  <w:num w:numId="37">
    <w:abstractNumId w:val="29"/>
  </w:num>
  <w:num w:numId="38">
    <w:abstractNumId w:val="1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zdw550lr5ttne0ee9xvafjfa99adessvav&quot;&gt;Aug 2011 lib&lt;record-ids&gt;&lt;item&gt;125&lt;/item&gt;&lt;item&gt;127&lt;/item&gt;&lt;item&gt;130&lt;/item&gt;&lt;item&gt;161&lt;/item&gt;&lt;item&gt;164&lt;/item&gt;&lt;item&gt;222&lt;/item&gt;&lt;item&gt;249&lt;/item&gt;&lt;item&gt;425&lt;/item&gt;&lt;item&gt;432&lt;/item&gt;&lt;item&gt;462&lt;/item&gt;&lt;item&gt;483&lt;/item&gt;&lt;item&gt;548&lt;/item&gt;&lt;item&gt;559&lt;/item&gt;&lt;item&gt;573&lt;/item&gt;&lt;item&gt;593&lt;/item&gt;&lt;item&gt;672&lt;/item&gt;&lt;item&gt;673&lt;/item&gt;&lt;item&gt;677&lt;/item&gt;&lt;item&gt;685&lt;/item&gt;&lt;item&gt;686&lt;/item&gt;&lt;item&gt;692&lt;/item&gt;&lt;item&gt;693&lt;/item&gt;&lt;item&gt;694&lt;/item&gt;&lt;item&gt;699&lt;/item&gt;&lt;item&gt;703&lt;/item&gt;&lt;item&gt;708&lt;/item&gt;&lt;item&gt;762&lt;/item&gt;&lt;item&gt;774&lt;/item&gt;&lt;/record-ids&gt;&lt;/item&gt;&lt;/Libraries&gt;"/>
  </w:docVars>
  <w:rsids>
    <w:rsidRoot w:val="00B17505"/>
    <w:rsid w:val="00002B48"/>
    <w:rsid w:val="00005DFE"/>
    <w:rsid w:val="00017529"/>
    <w:rsid w:val="00020BF7"/>
    <w:rsid w:val="00030174"/>
    <w:rsid w:val="00031728"/>
    <w:rsid w:val="00031B68"/>
    <w:rsid w:val="00041E08"/>
    <w:rsid w:val="00042C79"/>
    <w:rsid w:val="00045932"/>
    <w:rsid w:val="00045F9D"/>
    <w:rsid w:val="00056067"/>
    <w:rsid w:val="0005744B"/>
    <w:rsid w:val="00060DD2"/>
    <w:rsid w:val="00066663"/>
    <w:rsid w:val="0006755B"/>
    <w:rsid w:val="00071DCC"/>
    <w:rsid w:val="000808C6"/>
    <w:rsid w:val="0008652F"/>
    <w:rsid w:val="000948CC"/>
    <w:rsid w:val="0009679B"/>
    <w:rsid w:val="00097885"/>
    <w:rsid w:val="000A1AA0"/>
    <w:rsid w:val="000A4D5D"/>
    <w:rsid w:val="000A5561"/>
    <w:rsid w:val="000A65D3"/>
    <w:rsid w:val="000A6C84"/>
    <w:rsid w:val="000A7D3D"/>
    <w:rsid w:val="000B759B"/>
    <w:rsid w:val="000C4AED"/>
    <w:rsid w:val="000C744F"/>
    <w:rsid w:val="000C7F72"/>
    <w:rsid w:val="000D2A1B"/>
    <w:rsid w:val="000D3A84"/>
    <w:rsid w:val="000D56B5"/>
    <w:rsid w:val="000D5A70"/>
    <w:rsid w:val="000E00D4"/>
    <w:rsid w:val="000E4E44"/>
    <w:rsid w:val="000E5FF9"/>
    <w:rsid w:val="000F51C0"/>
    <w:rsid w:val="000F7E26"/>
    <w:rsid w:val="0010106B"/>
    <w:rsid w:val="00101168"/>
    <w:rsid w:val="001027A5"/>
    <w:rsid w:val="00104494"/>
    <w:rsid w:val="00104931"/>
    <w:rsid w:val="00105199"/>
    <w:rsid w:val="00112558"/>
    <w:rsid w:val="001137C5"/>
    <w:rsid w:val="001142E4"/>
    <w:rsid w:val="001216C0"/>
    <w:rsid w:val="00121783"/>
    <w:rsid w:val="00127109"/>
    <w:rsid w:val="00131DDD"/>
    <w:rsid w:val="00134901"/>
    <w:rsid w:val="00137843"/>
    <w:rsid w:val="0014104B"/>
    <w:rsid w:val="00145F4C"/>
    <w:rsid w:val="00151E0C"/>
    <w:rsid w:val="00156B9A"/>
    <w:rsid w:val="00160064"/>
    <w:rsid w:val="00171056"/>
    <w:rsid w:val="0017186C"/>
    <w:rsid w:val="001740B7"/>
    <w:rsid w:val="00176CFC"/>
    <w:rsid w:val="001806C0"/>
    <w:rsid w:val="00182D14"/>
    <w:rsid w:val="0018343E"/>
    <w:rsid w:val="00184623"/>
    <w:rsid w:val="00184E4F"/>
    <w:rsid w:val="00187F22"/>
    <w:rsid w:val="001A3206"/>
    <w:rsid w:val="001B433B"/>
    <w:rsid w:val="001C0F88"/>
    <w:rsid w:val="001D1C28"/>
    <w:rsid w:val="001D2695"/>
    <w:rsid w:val="001D394C"/>
    <w:rsid w:val="001D47E6"/>
    <w:rsid w:val="001D77B2"/>
    <w:rsid w:val="001E0A92"/>
    <w:rsid w:val="001E6FE0"/>
    <w:rsid w:val="001E75DC"/>
    <w:rsid w:val="001F20CF"/>
    <w:rsid w:val="001F29BF"/>
    <w:rsid w:val="001F2DFC"/>
    <w:rsid w:val="001F7A5D"/>
    <w:rsid w:val="00200166"/>
    <w:rsid w:val="002104BD"/>
    <w:rsid w:val="002161F6"/>
    <w:rsid w:val="00217179"/>
    <w:rsid w:val="002249F8"/>
    <w:rsid w:val="0023013F"/>
    <w:rsid w:val="002355A8"/>
    <w:rsid w:val="00236AC8"/>
    <w:rsid w:val="00242E3F"/>
    <w:rsid w:val="00243FDA"/>
    <w:rsid w:val="002459CC"/>
    <w:rsid w:val="00253D84"/>
    <w:rsid w:val="00256CA8"/>
    <w:rsid w:val="00256E10"/>
    <w:rsid w:val="00257B0B"/>
    <w:rsid w:val="0026450A"/>
    <w:rsid w:val="00266A94"/>
    <w:rsid w:val="00272315"/>
    <w:rsid w:val="002734A8"/>
    <w:rsid w:val="002741E9"/>
    <w:rsid w:val="0028137F"/>
    <w:rsid w:val="0028144E"/>
    <w:rsid w:val="00283D55"/>
    <w:rsid w:val="00284991"/>
    <w:rsid w:val="00284A18"/>
    <w:rsid w:val="002933F0"/>
    <w:rsid w:val="002A345A"/>
    <w:rsid w:val="002A3DC2"/>
    <w:rsid w:val="002A76DC"/>
    <w:rsid w:val="002A7A9D"/>
    <w:rsid w:val="002B1648"/>
    <w:rsid w:val="002B1BAB"/>
    <w:rsid w:val="002B3955"/>
    <w:rsid w:val="002B668E"/>
    <w:rsid w:val="002B78AD"/>
    <w:rsid w:val="002C0024"/>
    <w:rsid w:val="002C0E22"/>
    <w:rsid w:val="002C4E8B"/>
    <w:rsid w:val="002D0E56"/>
    <w:rsid w:val="002D114C"/>
    <w:rsid w:val="002D2982"/>
    <w:rsid w:val="002D3324"/>
    <w:rsid w:val="002D4E1B"/>
    <w:rsid w:val="002D60E0"/>
    <w:rsid w:val="002E0F3C"/>
    <w:rsid w:val="002E2BD5"/>
    <w:rsid w:val="002E4534"/>
    <w:rsid w:val="002F1E37"/>
    <w:rsid w:val="002F336D"/>
    <w:rsid w:val="002F41FF"/>
    <w:rsid w:val="002F5464"/>
    <w:rsid w:val="0030027D"/>
    <w:rsid w:val="003033E5"/>
    <w:rsid w:val="00305ACB"/>
    <w:rsid w:val="00307857"/>
    <w:rsid w:val="00310513"/>
    <w:rsid w:val="0031286D"/>
    <w:rsid w:val="00313F81"/>
    <w:rsid w:val="00321C96"/>
    <w:rsid w:val="003256D5"/>
    <w:rsid w:val="0032785B"/>
    <w:rsid w:val="00327F61"/>
    <w:rsid w:val="00336470"/>
    <w:rsid w:val="00340C0B"/>
    <w:rsid w:val="00341AFC"/>
    <w:rsid w:val="00342398"/>
    <w:rsid w:val="00342A1F"/>
    <w:rsid w:val="00343701"/>
    <w:rsid w:val="00346390"/>
    <w:rsid w:val="0034676B"/>
    <w:rsid w:val="00347D41"/>
    <w:rsid w:val="00353D25"/>
    <w:rsid w:val="00355079"/>
    <w:rsid w:val="0035590F"/>
    <w:rsid w:val="0037583A"/>
    <w:rsid w:val="003758FD"/>
    <w:rsid w:val="00383FF7"/>
    <w:rsid w:val="00394744"/>
    <w:rsid w:val="003A6276"/>
    <w:rsid w:val="003B012B"/>
    <w:rsid w:val="003B2388"/>
    <w:rsid w:val="003B40DB"/>
    <w:rsid w:val="003C05EF"/>
    <w:rsid w:val="003C1FE8"/>
    <w:rsid w:val="003C3970"/>
    <w:rsid w:val="003C42FF"/>
    <w:rsid w:val="003C579F"/>
    <w:rsid w:val="003D0F6E"/>
    <w:rsid w:val="003D3C65"/>
    <w:rsid w:val="003D53A3"/>
    <w:rsid w:val="003D5E84"/>
    <w:rsid w:val="003D6AEB"/>
    <w:rsid w:val="003D709D"/>
    <w:rsid w:val="003F2AAF"/>
    <w:rsid w:val="003F4E4A"/>
    <w:rsid w:val="00401B70"/>
    <w:rsid w:val="00401DBF"/>
    <w:rsid w:val="00404F43"/>
    <w:rsid w:val="00406291"/>
    <w:rsid w:val="0040714F"/>
    <w:rsid w:val="0040762F"/>
    <w:rsid w:val="00412679"/>
    <w:rsid w:val="0041682E"/>
    <w:rsid w:val="00416C31"/>
    <w:rsid w:val="00420DC9"/>
    <w:rsid w:val="00422EE9"/>
    <w:rsid w:val="00424C9C"/>
    <w:rsid w:val="004262CE"/>
    <w:rsid w:val="004262E3"/>
    <w:rsid w:val="00445ACE"/>
    <w:rsid w:val="00450AFE"/>
    <w:rsid w:val="00451CBA"/>
    <w:rsid w:val="00453333"/>
    <w:rsid w:val="00453FEB"/>
    <w:rsid w:val="004623C5"/>
    <w:rsid w:val="0046733D"/>
    <w:rsid w:val="004676DD"/>
    <w:rsid w:val="00471829"/>
    <w:rsid w:val="00472CD8"/>
    <w:rsid w:val="00474C22"/>
    <w:rsid w:val="00475110"/>
    <w:rsid w:val="0047668F"/>
    <w:rsid w:val="00481AFC"/>
    <w:rsid w:val="00482161"/>
    <w:rsid w:val="004A14DD"/>
    <w:rsid w:val="004A435C"/>
    <w:rsid w:val="004B22FF"/>
    <w:rsid w:val="004B75F6"/>
    <w:rsid w:val="004C4350"/>
    <w:rsid w:val="004C597E"/>
    <w:rsid w:val="004C6518"/>
    <w:rsid w:val="004D3A07"/>
    <w:rsid w:val="004D6BAB"/>
    <w:rsid w:val="004E12BE"/>
    <w:rsid w:val="004E2C60"/>
    <w:rsid w:val="004E4063"/>
    <w:rsid w:val="004E745A"/>
    <w:rsid w:val="004F7B25"/>
    <w:rsid w:val="005064D6"/>
    <w:rsid w:val="00515C24"/>
    <w:rsid w:val="0051724E"/>
    <w:rsid w:val="00517481"/>
    <w:rsid w:val="005228B9"/>
    <w:rsid w:val="0052429D"/>
    <w:rsid w:val="0053056E"/>
    <w:rsid w:val="0053460F"/>
    <w:rsid w:val="00534690"/>
    <w:rsid w:val="00537C22"/>
    <w:rsid w:val="00543C02"/>
    <w:rsid w:val="00544366"/>
    <w:rsid w:val="005607A1"/>
    <w:rsid w:val="00563CA2"/>
    <w:rsid w:val="00565800"/>
    <w:rsid w:val="00571B58"/>
    <w:rsid w:val="00571F6B"/>
    <w:rsid w:val="00573984"/>
    <w:rsid w:val="005763DF"/>
    <w:rsid w:val="00576410"/>
    <w:rsid w:val="005921D3"/>
    <w:rsid w:val="0059606F"/>
    <w:rsid w:val="005A4977"/>
    <w:rsid w:val="005A6359"/>
    <w:rsid w:val="005B31C1"/>
    <w:rsid w:val="005B7676"/>
    <w:rsid w:val="005B7914"/>
    <w:rsid w:val="005C3785"/>
    <w:rsid w:val="005C3A7F"/>
    <w:rsid w:val="005D34ED"/>
    <w:rsid w:val="005E1A29"/>
    <w:rsid w:val="005E3094"/>
    <w:rsid w:val="005E4273"/>
    <w:rsid w:val="006009F0"/>
    <w:rsid w:val="006055B3"/>
    <w:rsid w:val="006155E9"/>
    <w:rsid w:val="00615646"/>
    <w:rsid w:val="00615BE0"/>
    <w:rsid w:val="00622391"/>
    <w:rsid w:val="00622BFF"/>
    <w:rsid w:val="00632200"/>
    <w:rsid w:val="006378BB"/>
    <w:rsid w:val="00643687"/>
    <w:rsid w:val="006515E5"/>
    <w:rsid w:val="006557EA"/>
    <w:rsid w:val="006812CF"/>
    <w:rsid w:val="00682EE1"/>
    <w:rsid w:val="0068459E"/>
    <w:rsid w:val="00684B6B"/>
    <w:rsid w:val="00686DAA"/>
    <w:rsid w:val="0069397B"/>
    <w:rsid w:val="00693ABA"/>
    <w:rsid w:val="00693DB9"/>
    <w:rsid w:val="0069712C"/>
    <w:rsid w:val="006A41BF"/>
    <w:rsid w:val="006B751B"/>
    <w:rsid w:val="006C3BC2"/>
    <w:rsid w:val="006C5FCD"/>
    <w:rsid w:val="006D3C6E"/>
    <w:rsid w:val="006D5635"/>
    <w:rsid w:val="006D6B32"/>
    <w:rsid w:val="006D7235"/>
    <w:rsid w:val="006E120E"/>
    <w:rsid w:val="006E5CB1"/>
    <w:rsid w:val="006E63F5"/>
    <w:rsid w:val="006F0F25"/>
    <w:rsid w:val="006F425F"/>
    <w:rsid w:val="007029E1"/>
    <w:rsid w:val="00710BF1"/>
    <w:rsid w:val="00722B66"/>
    <w:rsid w:val="00723647"/>
    <w:rsid w:val="0072764B"/>
    <w:rsid w:val="00733DD9"/>
    <w:rsid w:val="00753BD3"/>
    <w:rsid w:val="00753D77"/>
    <w:rsid w:val="00756456"/>
    <w:rsid w:val="00757A1C"/>
    <w:rsid w:val="00757EFD"/>
    <w:rsid w:val="00760BCB"/>
    <w:rsid w:val="0076127D"/>
    <w:rsid w:val="00765313"/>
    <w:rsid w:val="0076769D"/>
    <w:rsid w:val="00770386"/>
    <w:rsid w:val="0077749E"/>
    <w:rsid w:val="007871A8"/>
    <w:rsid w:val="007959D7"/>
    <w:rsid w:val="00795DD7"/>
    <w:rsid w:val="00796FA0"/>
    <w:rsid w:val="00797D7C"/>
    <w:rsid w:val="007A3256"/>
    <w:rsid w:val="007A7560"/>
    <w:rsid w:val="007B19E1"/>
    <w:rsid w:val="007B3EFE"/>
    <w:rsid w:val="007C0327"/>
    <w:rsid w:val="007D22DD"/>
    <w:rsid w:val="007E6ED1"/>
    <w:rsid w:val="007F5607"/>
    <w:rsid w:val="007F70DE"/>
    <w:rsid w:val="00812A8D"/>
    <w:rsid w:val="008137EB"/>
    <w:rsid w:val="00815CAE"/>
    <w:rsid w:val="00817403"/>
    <w:rsid w:val="00820ED1"/>
    <w:rsid w:val="00821D2F"/>
    <w:rsid w:val="00824BDB"/>
    <w:rsid w:val="00826905"/>
    <w:rsid w:val="008279CA"/>
    <w:rsid w:val="00835C34"/>
    <w:rsid w:val="00840A4A"/>
    <w:rsid w:val="00842151"/>
    <w:rsid w:val="00851B4B"/>
    <w:rsid w:val="00853F8C"/>
    <w:rsid w:val="008554A6"/>
    <w:rsid w:val="00866A7E"/>
    <w:rsid w:val="00867DF2"/>
    <w:rsid w:val="0087534A"/>
    <w:rsid w:val="0088184E"/>
    <w:rsid w:val="00886E8E"/>
    <w:rsid w:val="00892FD4"/>
    <w:rsid w:val="008A0304"/>
    <w:rsid w:val="008B4848"/>
    <w:rsid w:val="008B5567"/>
    <w:rsid w:val="008C19F5"/>
    <w:rsid w:val="008D09A5"/>
    <w:rsid w:val="008D142E"/>
    <w:rsid w:val="008D2D21"/>
    <w:rsid w:val="008E1A38"/>
    <w:rsid w:val="008E34D0"/>
    <w:rsid w:val="008E573A"/>
    <w:rsid w:val="008E711F"/>
    <w:rsid w:val="008F6DC1"/>
    <w:rsid w:val="008F7193"/>
    <w:rsid w:val="009002DE"/>
    <w:rsid w:val="009006DC"/>
    <w:rsid w:val="009035C5"/>
    <w:rsid w:val="00910060"/>
    <w:rsid w:val="009141F4"/>
    <w:rsid w:val="009171CA"/>
    <w:rsid w:val="00923F0F"/>
    <w:rsid w:val="00933892"/>
    <w:rsid w:val="00936C3C"/>
    <w:rsid w:val="0094236C"/>
    <w:rsid w:val="009449EA"/>
    <w:rsid w:val="0095524D"/>
    <w:rsid w:val="00955ABA"/>
    <w:rsid w:val="009643EB"/>
    <w:rsid w:val="009662C3"/>
    <w:rsid w:val="00973D8D"/>
    <w:rsid w:val="00975EEF"/>
    <w:rsid w:val="00976284"/>
    <w:rsid w:val="009834C9"/>
    <w:rsid w:val="00984B9A"/>
    <w:rsid w:val="009906DF"/>
    <w:rsid w:val="00992FCB"/>
    <w:rsid w:val="00994EA9"/>
    <w:rsid w:val="009967B7"/>
    <w:rsid w:val="009978DE"/>
    <w:rsid w:val="009A13AC"/>
    <w:rsid w:val="009A32F7"/>
    <w:rsid w:val="009C1D75"/>
    <w:rsid w:val="009C5CC3"/>
    <w:rsid w:val="009C5EAF"/>
    <w:rsid w:val="009D4831"/>
    <w:rsid w:val="009D4CA4"/>
    <w:rsid w:val="009D5F0A"/>
    <w:rsid w:val="009E01B6"/>
    <w:rsid w:val="009E51E5"/>
    <w:rsid w:val="009E7CF2"/>
    <w:rsid w:val="009F0198"/>
    <w:rsid w:val="009F779A"/>
    <w:rsid w:val="009F7DCB"/>
    <w:rsid w:val="00A00970"/>
    <w:rsid w:val="00A015CE"/>
    <w:rsid w:val="00A02501"/>
    <w:rsid w:val="00A02C3D"/>
    <w:rsid w:val="00A12011"/>
    <w:rsid w:val="00A1434C"/>
    <w:rsid w:val="00A15FDC"/>
    <w:rsid w:val="00A20246"/>
    <w:rsid w:val="00A206E2"/>
    <w:rsid w:val="00A20878"/>
    <w:rsid w:val="00A26FE9"/>
    <w:rsid w:val="00A272F3"/>
    <w:rsid w:val="00A34E09"/>
    <w:rsid w:val="00A35A58"/>
    <w:rsid w:val="00A36216"/>
    <w:rsid w:val="00A40027"/>
    <w:rsid w:val="00A418D3"/>
    <w:rsid w:val="00A4232E"/>
    <w:rsid w:val="00A45A04"/>
    <w:rsid w:val="00A53AC7"/>
    <w:rsid w:val="00A54231"/>
    <w:rsid w:val="00A5493C"/>
    <w:rsid w:val="00A56D11"/>
    <w:rsid w:val="00A67438"/>
    <w:rsid w:val="00A748E0"/>
    <w:rsid w:val="00A7570D"/>
    <w:rsid w:val="00A766CE"/>
    <w:rsid w:val="00A81980"/>
    <w:rsid w:val="00A8463F"/>
    <w:rsid w:val="00A901A5"/>
    <w:rsid w:val="00A91C18"/>
    <w:rsid w:val="00A91C7A"/>
    <w:rsid w:val="00A92F87"/>
    <w:rsid w:val="00A97E1A"/>
    <w:rsid w:val="00AA6461"/>
    <w:rsid w:val="00AB0203"/>
    <w:rsid w:val="00AB2B1E"/>
    <w:rsid w:val="00AB6717"/>
    <w:rsid w:val="00AC6BEC"/>
    <w:rsid w:val="00AC6FD7"/>
    <w:rsid w:val="00AC78D1"/>
    <w:rsid w:val="00AD4E14"/>
    <w:rsid w:val="00AD6441"/>
    <w:rsid w:val="00AD6898"/>
    <w:rsid w:val="00AD7F24"/>
    <w:rsid w:val="00AE4C45"/>
    <w:rsid w:val="00AE5CFC"/>
    <w:rsid w:val="00AF1004"/>
    <w:rsid w:val="00AF6954"/>
    <w:rsid w:val="00B015CC"/>
    <w:rsid w:val="00B019CD"/>
    <w:rsid w:val="00B01FCD"/>
    <w:rsid w:val="00B0413D"/>
    <w:rsid w:val="00B07298"/>
    <w:rsid w:val="00B1045C"/>
    <w:rsid w:val="00B107C1"/>
    <w:rsid w:val="00B10F00"/>
    <w:rsid w:val="00B115C3"/>
    <w:rsid w:val="00B119E2"/>
    <w:rsid w:val="00B17505"/>
    <w:rsid w:val="00B214D7"/>
    <w:rsid w:val="00B22EC2"/>
    <w:rsid w:val="00B261B3"/>
    <w:rsid w:val="00B275A4"/>
    <w:rsid w:val="00B33F67"/>
    <w:rsid w:val="00B3409C"/>
    <w:rsid w:val="00B343DC"/>
    <w:rsid w:val="00B41D03"/>
    <w:rsid w:val="00B4560F"/>
    <w:rsid w:val="00B73E6B"/>
    <w:rsid w:val="00B75151"/>
    <w:rsid w:val="00B80525"/>
    <w:rsid w:val="00B80AD3"/>
    <w:rsid w:val="00B84B53"/>
    <w:rsid w:val="00B84D39"/>
    <w:rsid w:val="00B85B3C"/>
    <w:rsid w:val="00B86D92"/>
    <w:rsid w:val="00BA2174"/>
    <w:rsid w:val="00BA4311"/>
    <w:rsid w:val="00BA5C6B"/>
    <w:rsid w:val="00BA67D3"/>
    <w:rsid w:val="00BB0F44"/>
    <w:rsid w:val="00BB10BC"/>
    <w:rsid w:val="00BB23D0"/>
    <w:rsid w:val="00BB3F8A"/>
    <w:rsid w:val="00BD54A6"/>
    <w:rsid w:val="00BE3714"/>
    <w:rsid w:val="00BE58BA"/>
    <w:rsid w:val="00BF0C74"/>
    <w:rsid w:val="00BF5794"/>
    <w:rsid w:val="00BF6C37"/>
    <w:rsid w:val="00C006E4"/>
    <w:rsid w:val="00C03662"/>
    <w:rsid w:val="00C0460E"/>
    <w:rsid w:val="00C0692C"/>
    <w:rsid w:val="00C06DB0"/>
    <w:rsid w:val="00C12024"/>
    <w:rsid w:val="00C124C3"/>
    <w:rsid w:val="00C13471"/>
    <w:rsid w:val="00C205BD"/>
    <w:rsid w:val="00C25019"/>
    <w:rsid w:val="00C25ADE"/>
    <w:rsid w:val="00C310B5"/>
    <w:rsid w:val="00C316FD"/>
    <w:rsid w:val="00C34922"/>
    <w:rsid w:val="00C370B4"/>
    <w:rsid w:val="00C373EA"/>
    <w:rsid w:val="00C473C8"/>
    <w:rsid w:val="00C511C8"/>
    <w:rsid w:val="00C512D0"/>
    <w:rsid w:val="00C519AC"/>
    <w:rsid w:val="00C521DD"/>
    <w:rsid w:val="00C616C2"/>
    <w:rsid w:val="00C621E9"/>
    <w:rsid w:val="00C65EFC"/>
    <w:rsid w:val="00C65F00"/>
    <w:rsid w:val="00C67C5E"/>
    <w:rsid w:val="00C70F1B"/>
    <w:rsid w:val="00C7287D"/>
    <w:rsid w:val="00C728F3"/>
    <w:rsid w:val="00C74388"/>
    <w:rsid w:val="00C7449F"/>
    <w:rsid w:val="00C806B0"/>
    <w:rsid w:val="00C8115E"/>
    <w:rsid w:val="00C824BD"/>
    <w:rsid w:val="00C84324"/>
    <w:rsid w:val="00C854C6"/>
    <w:rsid w:val="00C85D3B"/>
    <w:rsid w:val="00C92191"/>
    <w:rsid w:val="00C9283F"/>
    <w:rsid w:val="00C92A3D"/>
    <w:rsid w:val="00C92D12"/>
    <w:rsid w:val="00C9344F"/>
    <w:rsid w:val="00CA2ABA"/>
    <w:rsid w:val="00CB399E"/>
    <w:rsid w:val="00CB5AD9"/>
    <w:rsid w:val="00CB66C3"/>
    <w:rsid w:val="00CB79F5"/>
    <w:rsid w:val="00CC3F12"/>
    <w:rsid w:val="00CC54C8"/>
    <w:rsid w:val="00CD0C3E"/>
    <w:rsid w:val="00CD49D7"/>
    <w:rsid w:val="00CD7086"/>
    <w:rsid w:val="00CE1255"/>
    <w:rsid w:val="00CE62B5"/>
    <w:rsid w:val="00CE7664"/>
    <w:rsid w:val="00CE7D82"/>
    <w:rsid w:val="00CF67D0"/>
    <w:rsid w:val="00CF736B"/>
    <w:rsid w:val="00D03790"/>
    <w:rsid w:val="00D13587"/>
    <w:rsid w:val="00D13E02"/>
    <w:rsid w:val="00D17213"/>
    <w:rsid w:val="00D21B5D"/>
    <w:rsid w:val="00D220FF"/>
    <w:rsid w:val="00D24708"/>
    <w:rsid w:val="00D25890"/>
    <w:rsid w:val="00D26EA7"/>
    <w:rsid w:val="00D317E2"/>
    <w:rsid w:val="00D31CA6"/>
    <w:rsid w:val="00D3461B"/>
    <w:rsid w:val="00D400A8"/>
    <w:rsid w:val="00D414E2"/>
    <w:rsid w:val="00D53402"/>
    <w:rsid w:val="00D60647"/>
    <w:rsid w:val="00D62765"/>
    <w:rsid w:val="00D64EE3"/>
    <w:rsid w:val="00D71193"/>
    <w:rsid w:val="00D71F6D"/>
    <w:rsid w:val="00D73EDC"/>
    <w:rsid w:val="00D76E7B"/>
    <w:rsid w:val="00D7754F"/>
    <w:rsid w:val="00D81977"/>
    <w:rsid w:val="00D87ADF"/>
    <w:rsid w:val="00D95157"/>
    <w:rsid w:val="00DA640F"/>
    <w:rsid w:val="00DA7FA0"/>
    <w:rsid w:val="00DB268A"/>
    <w:rsid w:val="00DC28EF"/>
    <w:rsid w:val="00DC49B7"/>
    <w:rsid w:val="00DC5830"/>
    <w:rsid w:val="00DC6DC0"/>
    <w:rsid w:val="00DC7268"/>
    <w:rsid w:val="00DD43A5"/>
    <w:rsid w:val="00DD5E12"/>
    <w:rsid w:val="00DE18AB"/>
    <w:rsid w:val="00DE4530"/>
    <w:rsid w:val="00DF2BB2"/>
    <w:rsid w:val="00DF57C6"/>
    <w:rsid w:val="00DF6B61"/>
    <w:rsid w:val="00E00BE1"/>
    <w:rsid w:val="00E01BD3"/>
    <w:rsid w:val="00E02495"/>
    <w:rsid w:val="00E05022"/>
    <w:rsid w:val="00E1156D"/>
    <w:rsid w:val="00E14938"/>
    <w:rsid w:val="00E17F5A"/>
    <w:rsid w:val="00E20066"/>
    <w:rsid w:val="00E21ADE"/>
    <w:rsid w:val="00E25DD3"/>
    <w:rsid w:val="00E3046A"/>
    <w:rsid w:val="00E32BB4"/>
    <w:rsid w:val="00E33286"/>
    <w:rsid w:val="00E37DC5"/>
    <w:rsid w:val="00E416CB"/>
    <w:rsid w:val="00E43931"/>
    <w:rsid w:val="00E43998"/>
    <w:rsid w:val="00E47C7E"/>
    <w:rsid w:val="00E52CD3"/>
    <w:rsid w:val="00E53712"/>
    <w:rsid w:val="00E54F58"/>
    <w:rsid w:val="00E601AC"/>
    <w:rsid w:val="00E6196F"/>
    <w:rsid w:val="00E61CD0"/>
    <w:rsid w:val="00E6556E"/>
    <w:rsid w:val="00E67B55"/>
    <w:rsid w:val="00E81994"/>
    <w:rsid w:val="00E85D1D"/>
    <w:rsid w:val="00E867FF"/>
    <w:rsid w:val="00E90967"/>
    <w:rsid w:val="00E912F4"/>
    <w:rsid w:val="00E92199"/>
    <w:rsid w:val="00E92C77"/>
    <w:rsid w:val="00EA6719"/>
    <w:rsid w:val="00EB1547"/>
    <w:rsid w:val="00EB29A5"/>
    <w:rsid w:val="00EB79CB"/>
    <w:rsid w:val="00EC251F"/>
    <w:rsid w:val="00EC704C"/>
    <w:rsid w:val="00EE1BCF"/>
    <w:rsid w:val="00EE4921"/>
    <w:rsid w:val="00EE7A7C"/>
    <w:rsid w:val="00EE7D03"/>
    <w:rsid w:val="00EF4D47"/>
    <w:rsid w:val="00EF71C2"/>
    <w:rsid w:val="00EF745E"/>
    <w:rsid w:val="00F0220B"/>
    <w:rsid w:val="00F04F83"/>
    <w:rsid w:val="00F13BF2"/>
    <w:rsid w:val="00F17988"/>
    <w:rsid w:val="00F26E66"/>
    <w:rsid w:val="00F345B4"/>
    <w:rsid w:val="00F4768D"/>
    <w:rsid w:val="00F502DB"/>
    <w:rsid w:val="00F56D93"/>
    <w:rsid w:val="00F641DA"/>
    <w:rsid w:val="00F65E07"/>
    <w:rsid w:val="00F76AEA"/>
    <w:rsid w:val="00F85517"/>
    <w:rsid w:val="00F85EBC"/>
    <w:rsid w:val="00F861D5"/>
    <w:rsid w:val="00F9293C"/>
    <w:rsid w:val="00F96013"/>
    <w:rsid w:val="00FA2863"/>
    <w:rsid w:val="00FB0C75"/>
    <w:rsid w:val="00FB16AF"/>
    <w:rsid w:val="00FB53F1"/>
    <w:rsid w:val="00FB599C"/>
    <w:rsid w:val="00FC230D"/>
    <w:rsid w:val="00FD023C"/>
    <w:rsid w:val="00FD0709"/>
    <w:rsid w:val="00FD3482"/>
    <w:rsid w:val="00FE24DE"/>
    <w:rsid w:val="00FE434A"/>
    <w:rsid w:val="00FE5F95"/>
    <w:rsid w:val="00FE69D7"/>
    <w:rsid w:val="00FF0EF1"/>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header" w:locked="0"/>
    <w:lsdException w:name="footer" w:uiPriority="99"/>
    <w:lsdException w:name="caption" w:semiHidden="1" w:unhideWhenUsed="1" w:qFormat="1"/>
    <w:lsdException w:name="footnote reference" w:locked="0" w:qFormat="1"/>
    <w:lsdException w:name="Title" w:locked="0" w:qFormat="1"/>
    <w:lsdException w:name="Closing" w:semiHidden="1"/>
    <w:lsdException w:name="Default Paragraph Font" w:locked="0"/>
    <w:lsdException w:name="Body Text" w:semiHidden="1"/>
    <w:lsdException w:name="Body Text Indent"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qFormat="1"/>
    <w:lsdException w:name="Strong" w:qFormat="1"/>
    <w:lsdException w:name="Emphasis" w:uiPriority="2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41682E"/>
    <w:pPr>
      <w:spacing w:after="240"/>
    </w:pPr>
    <w:rPr>
      <w:sz w:val="20"/>
    </w:rPr>
  </w:style>
  <w:style w:type="paragraph" w:styleId="Heading1">
    <w:name w:val="heading 1"/>
    <w:basedOn w:val="Normal"/>
    <w:next w:val="Normal"/>
    <w:semiHidden/>
    <w:unhideWhenUsed/>
    <w:qFormat/>
    <w:locked/>
    <w:rsid w:val="002D3324"/>
    <w:pPr>
      <w:keepNext/>
      <w:spacing w:before="240" w:after="60"/>
      <w:outlineLvl w:val="0"/>
    </w:pPr>
    <w:rPr>
      <w:b/>
      <w:kern w:val="28"/>
      <w:sz w:val="28"/>
    </w:rPr>
  </w:style>
  <w:style w:type="paragraph" w:styleId="Heading2">
    <w:name w:val="heading 2"/>
    <w:basedOn w:val="Normal"/>
    <w:next w:val="Normal"/>
    <w:semiHidden/>
    <w:unhideWhenUsed/>
    <w:qFormat/>
    <w:locked/>
    <w:rsid w:val="000D2A1B"/>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locked/>
    <w:rsid w:val="000D2A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9D4831"/>
    <w:pPr>
      <w:spacing w:after="0" w:line="280" w:lineRule="exact"/>
      <w:jc w:val="right"/>
    </w:pPr>
    <w:rPr>
      <w:b/>
      <w:sz w:val="28"/>
    </w:rPr>
  </w:style>
  <w:style w:type="paragraph" w:customStyle="1" w:styleId="Affiliation">
    <w:name w:val="Affiliation"/>
    <w:basedOn w:val="Normal"/>
    <w:qFormat/>
    <w:rsid w:val="00A418D3"/>
    <w:pPr>
      <w:spacing w:line="240" w:lineRule="exact"/>
      <w:jc w:val="right"/>
    </w:pPr>
  </w:style>
  <w:style w:type="paragraph" w:styleId="Header">
    <w:name w:val="header"/>
    <w:basedOn w:val="Normal"/>
    <w:link w:val="HeaderChar"/>
    <w:semiHidden/>
    <w:locked/>
    <w:rsid w:val="005B31C1"/>
    <w:pPr>
      <w:tabs>
        <w:tab w:val="center" w:pos="4680"/>
        <w:tab w:val="right" w:pos="9360"/>
      </w:tabs>
      <w:spacing w:after="0"/>
    </w:pPr>
  </w:style>
  <w:style w:type="paragraph" w:customStyle="1" w:styleId="PaperNumber">
    <w:name w:val="Paper Number"/>
    <w:basedOn w:val="Normal"/>
    <w:next w:val="Author"/>
    <w:qFormat/>
    <w:rsid w:val="00A418D3"/>
    <w:pPr>
      <w:spacing w:after="280" w:line="280" w:lineRule="exact"/>
      <w:jc w:val="right"/>
    </w:pPr>
    <w:rPr>
      <w:b/>
      <w:sz w:val="28"/>
    </w:rPr>
  </w:style>
  <w:style w:type="character" w:customStyle="1" w:styleId="HeaderChar">
    <w:name w:val="Header Char"/>
    <w:basedOn w:val="DefaultParagraphFont"/>
    <w:link w:val="Header"/>
    <w:rsid w:val="005B31C1"/>
    <w:rPr>
      <w:rFonts w:ascii="Arial" w:hAnsi="Arial"/>
    </w:rPr>
  </w:style>
  <w:style w:type="character" w:styleId="FootnoteReference">
    <w:name w:val="footnote reference"/>
    <w:basedOn w:val="DefaultParagraphFont"/>
    <w:qFormat/>
    <w:rsid w:val="004E4063"/>
    <w:rPr>
      <w:rFonts w:ascii="Times New Roman" w:hAnsi="Times New Roman"/>
      <w:sz w:val="24"/>
      <w:vertAlign w:val="superscript"/>
    </w:rPr>
  </w:style>
  <w:style w:type="paragraph" w:styleId="FootnoteText">
    <w:name w:val="footnote text"/>
    <w:basedOn w:val="Normal"/>
    <w:rsid w:val="00955ABA"/>
    <w:rPr>
      <w:szCs w:val="20"/>
    </w:rPr>
  </w:style>
  <w:style w:type="paragraph" w:customStyle="1" w:styleId="Copyright">
    <w:name w:val="Copyright"/>
    <w:basedOn w:val="Normal"/>
    <w:qFormat/>
    <w:rsid w:val="00842151"/>
    <w:pPr>
      <w:spacing w:after="960" w:line="200" w:lineRule="exact"/>
    </w:pPr>
    <w:rPr>
      <w:sz w:val="16"/>
    </w:rPr>
  </w:style>
  <w:style w:type="paragraph" w:styleId="Title">
    <w:name w:val="Title"/>
    <w:basedOn w:val="Normal"/>
    <w:qFormat/>
    <w:rsid w:val="00A418D3"/>
    <w:pPr>
      <w:spacing w:after="360"/>
      <w:jc w:val="right"/>
    </w:pPr>
    <w:rPr>
      <w:b/>
      <w:kern w:val="28"/>
      <w:sz w:val="36"/>
    </w:rPr>
  </w:style>
  <w:style w:type="paragraph" w:customStyle="1" w:styleId="Head1">
    <w:name w:val="Head1"/>
    <w:basedOn w:val="Normal"/>
    <w:qFormat/>
    <w:rsid w:val="006812CF"/>
    <w:pPr>
      <w:keepNext/>
    </w:pPr>
    <w:rPr>
      <w:b/>
      <w:caps/>
      <w:sz w:val="28"/>
      <w:szCs w:val="28"/>
      <w:u w:val="single"/>
    </w:rPr>
  </w:style>
  <w:style w:type="paragraph" w:customStyle="1" w:styleId="Head3">
    <w:name w:val="Head3"/>
    <w:basedOn w:val="Head2"/>
    <w:next w:val="Normal"/>
    <w:qFormat/>
    <w:rsid w:val="006812CF"/>
    <w:rPr>
      <w:sz w:val="24"/>
      <w:u w:val="single"/>
    </w:rPr>
  </w:style>
  <w:style w:type="paragraph" w:customStyle="1" w:styleId="Head4">
    <w:name w:val="Head4"/>
    <w:basedOn w:val="Head3"/>
    <w:next w:val="Normal"/>
    <w:qFormat/>
    <w:rsid w:val="006812CF"/>
    <w:rPr>
      <w:i/>
      <w:u w:val="none"/>
    </w:rPr>
  </w:style>
  <w:style w:type="paragraph" w:customStyle="1" w:styleId="List-Unordered">
    <w:name w:val="List-Unordered"/>
    <w:basedOn w:val="Normal"/>
    <w:qFormat/>
    <w:rsid w:val="00AD7F24"/>
    <w:pPr>
      <w:numPr>
        <w:numId w:val="35"/>
      </w:numPr>
      <w:contextualSpacing/>
    </w:pPr>
  </w:style>
  <w:style w:type="paragraph" w:customStyle="1" w:styleId="List-Ordered-Numeric">
    <w:name w:val="List-Ordered-Numeric"/>
    <w:basedOn w:val="Normal"/>
    <w:qFormat/>
    <w:rsid w:val="00C824BD"/>
    <w:pPr>
      <w:numPr>
        <w:numId w:val="38"/>
      </w:numPr>
      <w:contextualSpacing/>
    </w:pPr>
  </w:style>
  <w:style w:type="paragraph" w:customStyle="1" w:styleId="Head2">
    <w:name w:val="Head2"/>
    <w:basedOn w:val="Normal"/>
    <w:next w:val="Normal"/>
    <w:qFormat/>
    <w:rsid w:val="006812CF"/>
    <w:pPr>
      <w:keepNext/>
    </w:pPr>
    <w:rPr>
      <w:b/>
      <w:sz w:val="28"/>
      <w:szCs w:val="28"/>
    </w:rPr>
  </w:style>
  <w:style w:type="paragraph" w:customStyle="1" w:styleId="Equation">
    <w:name w:val="Equation"/>
    <w:basedOn w:val="Normal"/>
    <w:qFormat/>
    <w:rsid w:val="00C519AC"/>
    <w:pPr>
      <w:jc w:val="center"/>
    </w:pPr>
  </w:style>
  <w:style w:type="character" w:customStyle="1" w:styleId="Subscript">
    <w:name w:val="Subscript"/>
    <w:qFormat/>
    <w:rsid w:val="00BF5794"/>
    <w:rPr>
      <w:sz w:val="24"/>
      <w:vertAlign w:val="subscript"/>
    </w:rPr>
  </w:style>
  <w:style w:type="character" w:customStyle="1" w:styleId="Superscript">
    <w:name w:val="Superscript"/>
    <w:qFormat/>
    <w:rsid w:val="00A91C7A"/>
    <w:rPr>
      <w:sz w:val="24"/>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BF5794"/>
    <w:rPr>
      <w:i/>
      <w:sz w:val="24"/>
      <w:vertAlign w:val="subscript"/>
    </w:rPr>
  </w:style>
  <w:style w:type="character" w:customStyle="1" w:styleId="Superscript-Italic">
    <w:name w:val="Superscript-Italic"/>
    <w:qFormat/>
    <w:rsid w:val="00A91C7A"/>
    <w:rPr>
      <w:i/>
      <w:sz w:val="24"/>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basedOn w:val="DefaultParagraphFont"/>
    <w:uiPriority w:val="1"/>
    <w:qFormat/>
    <w:rsid w:val="003758FD"/>
    <w:rPr>
      <w:rFonts w:ascii="Times New Roman" w:hAnsi="Times New Roman"/>
      <w:i/>
      <w:sz w:val="16"/>
      <w:vertAlign w:val="superscript"/>
    </w:rPr>
  </w:style>
  <w:style w:type="character" w:customStyle="1" w:styleId="Emphasis-Bold">
    <w:name w:val="Emphasis-Bold"/>
    <w:basedOn w:val="DefaultParagraphFont"/>
    <w:qFormat/>
    <w:rsid w:val="000D2A1B"/>
    <w:rPr>
      <w:b/>
    </w:rPr>
  </w:style>
  <w:style w:type="character" w:customStyle="1" w:styleId="Emphasis-Italic">
    <w:name w:val="Emphasis-Italic"/>
    <w:basedOn w:val="DefaultParagraphFont"/>
    <w:qFormat/>
    <w:rsid w:val="000D2A1B"/>
    <w:rPr>
      <w:i/>
    </w:rPr>
  </w:style>
  <w:style w:type="character" w:customStyle="1" w:styleId="Emphasis-Underline">
    <w:name w:val="Emphasis-Underline"/>
    <w:basedOn w:val="DefaultParagraphFont"/>
    <w:qFormat/>
    <w:rsid w:val="000D2A1B"/>
    <w:rPr>
      <w:u w:val="single"/>
    </w:rPr>
  </w:style>
  <w:style w:type="paragraph" w:customStyle="1" w:styleId="TableTitle">
    <w:name w:val="Table Title"/>
    <w:basedOn w:val="Normal"/>
    <w:next w:val="Normal"/>
    <w:rsid w:val="002D60E0"/>
    <w:pPr>
      <w:keepNext/>
      <w:jc w:val="center"/>
    </w:pPr>
    <w:rPr>
      <w:b/>
      <w:i/>
    </w:rPr>
  </w:style>
  <w:style w:type="paragraph" w:customStyle="1" w:styleId="FigureCaption">
    <w:name w:val="Figure Caption"/>
    <w:basedOn w:val="Normal"/>
    <w:next w:val="Normal"/>
    <w:rsid w:val="002D60E0"/>
    <w:pPr>
      <w:jc w:val="center"/>
    </w:pPr>
    <w:rPr>
      <w:b/>
      <w:i/>
    </w:rPr>
  </w:style>
  <w:style w:type="character" w:customStyle="1" w:styleId="Emphasis-Bold-Italic">
    <w:name w:val="Emphasis-Bold-Italic"/>
    <w:basedOn w:val="DefaultParagraphFont"/>
    <w:qFormat/>
    <w:rsid w:val="00A766CE"/>
    <w:rPr>
      <w:b/>
      <w:i/>
    </w:rPr>
  </w:style>
  <w:style w:type="paragraph" w:styleId="Footer">
    <w:name w:val="footer"/>
    <w:basedOn w:val="Normal"/>
    <w:semiHidden/>
    <w:unhideWhenUsed/>
    <w:locked/>
    <w:rsid w:val="009662C3"/>
    <w:pPr>
      <w:tabs>
        <w:tab w:val="center" w:pos="4320"/>
        <w:tab w:val="right" w:pos="8640"/>
      </w:tabs>
    </w:pPr>
  </w:style>
  <w:style w:type="character" w:styleId="PageNumber">
    <w:name w:val="page number"/>
    <w:basedOn w:val="DefaultParagraphFont"/>
    <w:semiHidden/>
    <w:unhideWhenUsed/>
    <w:locked/>
    <w:rsid w:val="009662C3"/>
  </w:style>
  <w:style w:type="paragraph" w:customStyle="1" w:styleId="TableNoteText">
    <w:name w:val="Table Note Text"/>
    <w:basedOn w:val="Normal"/>
    <w:next w:val="Normal"/>
    <w:qFormat/>
    <w:rsid w:val="003C1FE8"/>
    <w:rPr>
      <w:sz w:val="16"/>
    </w:rPr>
  </w:style>
  <w:style w:type="paragraph" w:customStyle="1" w:styleId="Center">
    <w:name w:val="Center"/>
    <w:basedOn w:val="Normal"/>
    <w:next w:val="Normal"/>
    <w:qFormat/>
    <w:rsid w:val="00D400A8"/>
    <w:pPr>
      <w:jc w:val="center"/>
    </w:pPr>
  </w:style>
  <w:style w:type="paragraph" w:customStyle="1" w:styleId="Justified">
    <w:name w:val="Justified"/>
    <w:basedOn w:val="Normal"/>
    <w:qFormat/>
    <w:rsid w:val="00474C22"/>
    <w:pPr>
      <w:jc w:val="both"/>
    </w:pPr>
  </w:style>
  <w:style w:type="table" w:styleId="TableGrid">
    <w:name w:val="Table Grid"/>
    <w:basedOn w:val="TableNormal"/>
    <w:rsid w:val="00C85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table" w:customStyle="1" w:styleId="BorderlessTable">
    <w:name w:val="Borderless Table"/>
    <w:basedOn w:val="Table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leGrid"/>
    <w:uiPriority w:val="99"/>
    <w:qFormat/>
    <w:rsid w:val="005064D6"/>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le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7A7560"/>
    <w:pPr>
      <w:spacing w:after="0"/>
    </w:pPr>
    <w:rPr>
      <w:b/>
    </w:rPr>
  </w:style>
  <w:style w:type="paragraph" w:customStyle="1" w:styleId="Definition">
    <w:name w:val="Definition"/>
    <w:basedOn w:val="Normal"/>
    <w:next w:val="Normal"/>
    <w:qFormat/>
    <w:rsid w:val="00E01BD3"/>
    <w:pPr>
      <w:ind w:left="720" w:right="720"/>
    </w:pPr>
  </w:style>
  <w:style w:type="paragraph" w:customStyle="1" w:styleId="Figure">
    <w:name w:val="Figure"/>
    <w:basedOn w:val="Normal"/>
    <w:next w:val="FigureCaption"/>
    <w:qFormat/>
    <w:rsid w:val="00C85D3B"/>
    <w:pPr>
      <w:keepNext/>
      <w:jc w:val="center"/>
    </w:pPr>
  </w:style>
  <w:style w:type="paragraph" w:customStyle="1" w:styleId="NormalTableText">
    <w:name w:val="Normal Table Text"/>
    <w:basedOn w:val="Normal"/>
    <w:qFormat/>
    <w:rsid w:val="00E21ADE"/>
    <w:pPr>
      <w:spacing w:after="0"/>
    </w:pPr>
  </w:style>
  <w:style w:type="paragraph" w:styleId="BalloonText">
    <w:name w:val="Balloon Text"/>
    <w:basedOn w:val="Normal"/>
    <w:link w:val="BalloonTextChar"/>
    <w:semiHidden/>
    <w:locked/>
    <w:rsid w:val="00FD348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96FA0"/>
    <w:rPr>
      <w:rFonts w:ascii="Tahoma" w:hAnsi="Tahoma" w:cs="Tahoma"/>
      <w:sz w:val="16"/>
      <w:szCs w:val="16"/>
    </w:rPr>
  </w:style>
  <w:style w:type="character" w:styleId="Emphasis">
    <w:name w:val="Emphasis"/>
    <w:basedOn w:val="DefaultParagraphFont"/>
    <w:uiPriority w:val="20"/>
    <w:qFormat/>
    <w:locked/>
    <w:rsid w:val="00824BDB"/>
    <w:rPr>
      <w:i/>
      <w:iCs/>
    </w:rPr>
  </w:style>
  <w:style w:type="paragraph" w:styleId="NoSpacing">
    <w:name w:val="No Spacing"/>
    <w:uiPriority w:val="1"/>
    <w:qFormat/>
    <w:locked/>
    <w:rsid w:val="00815CAE"/>
    <w:rPr>
      <w:rFonts w:asciiTheme="minorHAnsi" w:eastAsiaTheme="minorHAnsi" w:hAnsiTheme="minorHAnsi" w:cstheme="minorBidi"/>
      <w:sz w:val="22"/>
      <w:szCs w:val="22"/>
      <w:lang w:val="en-GB"/>
    </w:rPr>
  </w:style>
  <w:style w:type="character" w:styleId="Hyperlink">
    <w:name w:val="Hyperlink"/>
    <w:basedOn w:val="DefaultParagraphFont"/>
    <w:qFormat/>
    <w:rsid w:val="00342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header" w:locked="0"/>
    <w:lsdException w:name="footer" w:uiPriority="99"/>
    <w:lsdException w:name="caption" w:semiHidden="1" w:unhideWhenUsed="1" w:qFormat="1"/>
    <w:lsdException w:name="footnote reference" w:locked="0" w:qFormat="1"/>
    <w:lsdException w:name="Title" w:locked="0" w:qFormat="1"/>
    <w:lsdException w:name="Closing" w:semiHidden="1"/>
    <w:lsdException w:name="Default Paragraph Font" w:locked="0"/>
    <w:lsdException w:name="Body Text" w:semiHidden="1"/>
    <w:lsdException w:name="Body Text Indent"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qFormat="1"/>
    <w:lsdException w:name="Strong" w:qFormat="1"/>
    <w:lsdException w:name="Emphasis" w:uiPriority="2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41682E"/>
    <w:pPr>
      <w:spacing w:after="240"/>
    </w:pPr>
    <w:rPr>
      <w:sz w:val="20"/>
    </w:rPr>
  </w:style>
  <w:style w:type="paragraph" w:styleId="Heading1">
    <w:name w:val="heading 1"/>
    <w:basedOn w:val="Normal"/>
    <w:next w:val="Normal"/>
    <w:semiHidden/>
    <w:unhideWhenUsed/>
    <w:qFormat/>
    <w:locked/>
    <w:rsid w:val="002D3324"/>
    <w:pPr>
      <w:keepNext/>
      <w:spacing w:before="240" w:after="60"/>
      <w:outlineLvl w:val="0"/>
    </w:pPr>
    <w:rPr>
      <w:b/>
      <w:kern w:val="28"/>
      <w:sz w:val="28"/>
    </w:rPr>
  </w:style>
  <w:style w:type="paragraph" w:styleId="Heading2">
    <w:name w:val="heading 2"/>
    <w:basedOn w:val="Normal"/>
    <w:next w:val="Normal"/>
    <w:semiHidden/>
    <w:unhideWhenUsed/>
    <w:qFormat/>
    <w:locked/>
    <w:rsid w:val="000D2A1B"/>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locked/>
    <w:rsid w:val="000D2A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9D4831"/>
    <w:pPr>
      <w:spacing w:after="0" w:line="280" w:lineRule="exact"/>
      <w:jc w:val="right"/>
    </w:pPr>
    <w:rPr>
      <w:b/>
      <w:sz w:val="28"/>
    </w:rPr>
  </w:style>
  <w:style w:type="paragraph" w:customStyle="1" w:styleId="Affiliation">
    <w:name w:val="Affiliation"/>
    <w:basedOn w:val="Normal"/>
    <w:qFormat/>
    <w:rsid w:val="00A418D3"/>
    <w:pPr>
      <w:spacing w:line="240" w:lineRule="exact"/>
      <w:jc w:val="right"/>
    </w:pPr>
  </w:style>
  <w:style w:type="paragraph" w:styleId="Header">
    <w:name w:val="header"/>
    <w:basedOn w:val="Normal"/>
    <w:link w:val="HeaderChar"/>
    <w:semiHidden/>
    <w:locked/>
    <w:rsid w:val="005B31C1"/>
    <w:pPr>
      <w:tabs>
        <w:tab w:val="center" w:pos="4680"/>
        <w:tab w:val="right" w:pos="9360"/>
      </w:tabs>
      <w:spacing w:after="0"/>
    </w:pPr>
  </w:style>
  <w:style w:type="paragraph" w:customStyle="1" w:styleId="PaperNumber">
    <w:name w:val="Paper Number"/>
    <w:basedOn w:val="Normal"/>
    <w:next w:val="Author"/>
    <w:qFormat/>
    <w:rsid w:val="00A418D3"/>
    <w:pPr>
      <w:spacing w:after="280" w:line="280" w:lineRule="exact"/>
      <w:jc w:val="right"/>
    </w:pPr>
    <w:rPr>
      <w:b/>
      <w:sz w:val="28"/>
    </w:rPr>
  </w:style>
  <w:style w:type="character" w:customStyle="1" w:styleId="HeaderChar">
    <w:name w:val="Header Char"/>
    <w:basedOn w:val="DefaultParagraphFont"/>
    <w:link w:val="Header"/>
    <w:rsid w:val="005B31C1"/>
    <w:rPr>
      <w:rFonts w:ascii="Arial" w:hAnsi="Arial"/>
    </w:rPr>
  </w:style>
  <w:style w:type="character" w:styleId="FootnoteReference">
    <w:name w:val="footnote reference"/>
    <w:basedOn w:val="DefaultParagraphFont"/>
    <w:qFormat/>
    <w:rsid w:val="004E4063"/>
    <w:rPr>
      <w:rFonts w:ascii="Times New Roman" w:hAnsi="Times New Roman"/>
      <w:sz w:val="24"/>
      <w:vertAlign w:val="superscript"/>
    </w:rPr>
  </w:style>
  <w:style w:type="paragraph" w:styleId="FootnoteText">
    <w:name w:val="footnote text"/>
    <w:basedOn w:val="Normal"/>
    <w:rsid w:val="00955ABA"/>
    <w:rPr>
      <w:szCs w:val="20"/>
    </w:rPr>
  </w:style>
  <w:style w:type="paragraph" w:customStyle="1" w:styleId="Copyright">
    <w:name w:val="Copyright"/>
    <w:basedOn w:val="Normal"/>
    <w:qFormat/>
    <w:rsid w:val="00842151"/>
    <w:pPr>
      <w:spacing w:after="960" w:line="200" w:lineRule="exact"/>
    </w:pPr>
    <w:rPr>
      <w:sz w:val="16"/>
    </w:rPr>
  </w:style>
  <w:style w:type="paragraph" w:styleId="Title">
    <w:name w:val="Title"/>
    <w:basedOn w:val="Normal"/>
    <w:qFormat/>
    <w:rsid w:val="00A418D3"/>
    <w:pPr>
      <w:spacing w:after="360"/>
      <w:jc w:val="right"/>
    </w:pPr>
    <w:rPr>
      <w:b/>
      <w:kern w:val="28"/>
      <w:sz w:val="36"/>
    </w:rPr>
  </w:style>
  <w:style w:type="paragraph" w:customStyle="1" w:styleId="Head1">
    <w:name w:val="Head1"/>
    <w:basedOn w:val="Normal"/>
    <w:qFormat/>
    <w:rsid w:val="006812CF"/>
    <w:pPr>
      <w:keepNext/>
    </w:pPr>
    <w:rPr>
      <w:b/>
      <w:caps/>
      <w:sz w:val="28"/>
      <w:szCs w:val="28"/>
      <w:u w:val="single"/>
    </w:rPr>
  </w:style>
  <w:style w:type="paragraph" w:customStyle="1" w:styleId="Head3">
    <w:name w:val="Head3"/>
    <w:basedOn w:val="Head2"/>
    <w:next w:val="Normal"/>
    <w:qFormat/>
    <w:rsid w:val="006812CF"/>
    <w:rPr>
      <w:sz w:val="24"/>
      <w:u w:val="single"/>
    </w:rPr>
  </w:style>
  <w:style w:type="paragraph" w:customStyle="1" w:styleId="Head4">
    <w:name w:val="Head4"/>
    <w:basedOn w:val="Head3"/>
    <w:next w:val="Normal"/>
    <w:qFormat/>
    <w:rsid w:val="006812CF"/>
    <w:rPr>
      <w:i/>
      <w:u w:val="none"/>
    </w:rPr>
  </w:style>
  <w:style w:type="paragraph" w:customStyle="1" w:styleId="List-Unordered">
    <w:name w:val="List-Unordered"/>
    <w:basedOn w:val="Normal"/>
    <w:qFormat/>
    <w:rsid w:val="00AD7F24"/>
    <w:pPr>
      <w:numPr>
        <w:numId w:val="35"/>
      </w:numPr>
      <w:contextualSpacing/>
    </w:pPr>
  </w:style>
  <w:style w:type="paragraph" w:customStyle="1" w:styleId="List-Ordered-Numeric">
    <w:name w:val="List-Ordered-Numeric"/>
    <w:basedOn w:val="Normal"/>
    <w:qFormat/>
    <w:rsid w:val="00C824BD"/>
    <w:pPr>
      <w:numPr>
        <w:numId w:val="38"/>
      </w:numPr>
      <w:contextualSpacing/>
    </w:pPr>
  </w:style>
  <w:style w:type="paragraph" w:customStyle="1" w:styleId="Head2">
    <w:name w:val="Head2"/>
    <w:basedOn w:val="Normal"/>
    <w:next w:val="Normal"/>
    <w:qFormat/>
    <w:rsid w:val="006812CF"/>
    <w:pPr>
      <w:keepNext/>
    </w:pPr>
    <w:rPr>
      <w:b/>
      <w:sz w:val="28"/>
      <w:szCs w:val="28"/>
    </w:rPr>
  </w:style>
  <w:style w:type="paragraph" w:customStyle="1" w:styleId="Equation">
    <w:name w:val="Equation"/>
    <w:basedOn w:val="Normal"/>
    <w:qFormat/>
    <w:rsid w:val="00C519AC"/>
    <w:pPr>
      <w:jc w:val="center"/>
    </w:pPr>
  </w:style>
  <w:style w:type="character" w:customStyle="1" w:styleId="Subscript">
    <w:name w:val="Subscript"/>
    <w:qFormat/>
    <w:rsid w:val="00BF5794"/>
    <w:rPr>
      <w:sz w:val="24"/>
      <w:vertAlign w:val="subscript"/>
    </w:rPr>
  </w:style>
  <w:style w:type="character" w:customStyle="1" w:styleId="Superscript">
    <w:name w:val="Superscript"/>
    <w:qFormat/>
    <w:rsid w:val="00A91C7A"/>
    <w:rPr>
      <w:sz w:val="24"/>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BF5794"/>
    <w:rPr>
      <w:i/>
      <w:sz w:val="24"/>
      <w:vertAlign w:val="subscript"/>
    </w:rPr>
  </w:style>
  <w:style w:type="character" w:customStyle="1" w:styleId="Superscript-Italic">
    <w:name w:val="Superscript-Italic"/>
    <w:qFormat/>
    <w:rsid w:val="00A91C7A"/>
    <w:rPr>
      <w:i/>
      <w:sz w:val="24"/>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basedOn w:val="DefaultParagraphFont"/>
    <w:uiPriority w:val="1"/>
    <w:qFormat/>
    <w:rsid w:val="003758FD"/>
    <w:rPr>
      <w:rFonts w:ascii="Times New Roman" w:hAnsi="Times New Roman"/>
      <w:i/>
      <w:sz w:val="16"/>
      <w:vertAlign w:val="superscript"/>
    </w:rPr>
  </w:style>
  <w:style w:type="character" w:customStyle="1" w:styleId="Emphasis-Bold">
    <w:name w:val="Emphasis-Bold"/>
    <w:basedOn w:val="DefaultParagraphFont"/>
    <w:qFormat/>
    <w:rsid w:val="000D2A1B"/>
    <w:rPr>
      <w:b/>
    </w:rPr>
  </w:style>
  <w:style w:type="character" w:customStyle="1" w:styleId="Emphasis-Italic">
    <w:name w:val="Emphasis-Italic"/>
    <w:basedOn w:val="DefaultParagraphFont"/>
    <w:qFormat/>
    <w:rsid w:val="000D2A1B"/>
    <w:rPr>
      <w:i/>
    </w:rPr>
  </w:style>
  <w:style w:type="character" w:customStyle="1" w:styleId="Emphasis-Underline">
    <w:name w:val="Emphasis-Underline"/>
    <w:basedOn w:val="DefaultParagraphFont"/>
    <w:qFormat/>
    <w:rsid w:val="000D2A1B"/>
    <w:rPr>
      <w:u w:val="single"/>
    </w:rPr>
  </w:style>
  <w:style w:type="paragraph" w:customStyle="1" w:styleId="TableTitle">
    <w:name w:val="Table Title"/>
    <w:basedOn w:val="Normal"/>
    <w:next w:val="Normal"/>
    <w:rsid w:val="002D60E0"/>
    <w:pPr>
      <w:keepNext/>
      <w:jc w:val="center"/>
    </w:pPr>
    <w:rPr>
      <w:b/>
      <w:i/>
    </w:rPr>
  </w:style>
  <w:style w:type="paragraph" w:customStyle="1" w:styleId="FigureCaption">
    <w:name w:val="Figure Caption"/>
    <w:basedOn w:val="Normal"/>
    <w:next w:val="Normal"/>
    <w:rsid w:val="002D60E0"/>
    <w:pPr>
      <w:jc w:val="center"/>
    </w:pPr>
    <w:rPr>
      <w:b/>
      <w:i/>
    </w:rPr>
  </w:style>
  <w:style w:type="character" w:customStyle="1" w:styleId="Emphasis-Bold-Italic">
    <w:name w:val="Emphasis-Bold-Italic"/>
    <w:basedOn w:val="DefaultParagraphFont"/>
    <w:qFormat/>
    <w:rsid w:val="00A766CE"/>
    <w:rPr>
      <w:b/>
      <w:i/>
    </w:rPr>
  </w:style>
  <w:style w:type="paragraph" w:styleId="Footer">
    <w:name w:val="footer"/>
    <w:basedOn w:val="Normal"/>
    <w:semiHidden/>
    <w:unhideWhenUsed/>
    <w:locked/>
    <w:rsid w:val="009662C3"/>
    <w:pPr>
      <w:tabs>
        <w:tab w:val="center" w:pos="4320"/>
        <w:tab w:val="right" w:pos="8640"/>
      </w:tabs>
    </w:pPr>
  </w:style>
  <w:style w:type="character" w:styleId="PageNumber">
    <w:name w:val="page number"/>
    <w:basedOn w:val="DefaultParagraphFont"/>
    <w:semiHidden/>
    <w:unhideWhenUsed/>
    <w:locked/>
    <w:rsid w:val="009662C3"/>
  </w:style>
  <w:style w:type="paragraph" w:customStyle="1" w:styleId="TableNoteText">
    <w:name w:val="Table Note Text"/>
    <w:basedOn w:val="Normal"/>
    <w:next w:val="Normal"/>
    <w:qFormat/>
    <w:rsid w:val="003C1FE8"/>
    <w:rPr>
      <w:sz w:val="16"/>
    </w:rPr>
  </w:style>
  <w:style w:type="paragraph" w:customStyle="1" w:styleId="Center">
    <w:name w:val="Center"/>
    <w:basedOn w:val="Normal"/>
    <w:next w:val="Normal"/>
    <w:qFormat/>
    <w:rsid w:val="00D400A8"/>
    <w:pPr>
      <w:jc w:val="center"/>
    </w:pPr>
  </w:style>
  <w:style w:type="paragraph" w:customStyle="1" w:styleId="Justified">
    <w:name w:val="Justified"/>
    <w:basedOn w:val="Normal"/>
    <w:qFormat/>
    <w:rsid w:val="00474C22"/>
    <w:pPr>
      <w:jc w:val="both"/>
    </w:pPr>
  </w:style>
  <w:style w:type="table" w:styleId="TableGrid">
    <w:name w:val="Table Grid"/>
    <w:basedOn w:val="TableNormal"/>
    <w:rsid w:val="00C85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table" w:customStyle="1" w:styleId="BorderlessTable">
    <w:name w:val="Borderless Table"/>
    <w:basedOn w:val="Table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leGrid"/>
    <w:uiPriority w:val="99"/>
    <w:qFormat/>
    <w:rsid w:val="005064D6"/>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le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7A7560"/>
    <w:pPr>
      <w:spacing w:after="0"/>
    </w:pPr>
    <w:rPr>
      <w:b/>
    </w:rPr>
  </w:style>
  <w:style w:type="paragraph" w:customStyle="1" w:styleId="Definition">
    <w:name w:val="Definition"/>
    <w:basedOn w:val="Normal"/>
    <w:next w:val="Normal"/>
    <w:qFormat/>
    <w:rsid w:val="00E01BD3"/>
    <w:pPr>
      <w:ind w:left="720" w:right="720"/>
    </w:pPr>
  </w:style>
  <w:style w:type="paragraph" w:customStyle="1" w:styleId="Figure">
    <w:name w:val="Figure"/>
    <w:basedOn w:val="Normal"/>
    <w:next w:val="FigureCaption"/>
    <w:qFormat/>
    <w:rsid w:val="00C85D3B"/>
    <w:pPr>
      <w:keepNext/>
      <w:jc w:val="center"/>
    </w:pPr>
  </w:style>
  <w:style w:type="paragraph" w:customStyle="1" w:styleId="NormalTableText">
    <w:name w:val="Normal Table Text"/>
    <w:basedOn w:val="Normal"/>
    <w:qFormat/>
    <w:rsid w:val="00E21ADE"/>
    <w:pPr>
      <w:spacing w:after="0"/>
    </w:pPr>
  </w:style>
  <w:style w:type="paragraph" w:styleId="BalloonText">
    <w:name w:val="Balloon Text"/>
    <w:basedOn w:val="Normal"/>
    <w:link w:val="BalloonTextChar"/>
    <w:semiHidden/>
    <w:locked/>
    <w:rsid w:val="00FD348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96FA0"/>
    <w:rPr>
      <w:rFonts w:ascii="Tahoma" w:hAnsi="Tahoma" w:cs="Tahoma"/>
      <w:sz w:val="16"/>
      <w:szCs w:val="16"/>
    </w:rPr>
  </w:style>
  <w:style w:type="character" w:styleId="Emphasis">
    <w:name w:val="Emphasis"/>
    <w:basedOn w:val="DefaultParagraphFont"/>
    <w:uiPriority w:val="20"/>
    <w:qFormat/>
    <w:locked/>
    <w:rsid w:val="00824BDB"/>
    <w:rPr>
      <w:i/>
      <w:iCs/>
    </w:rPr>
  </w:style>
  <w:style w:type="paragraph" w:styleId="NoSpacing">
    <w:name w:val="No Spacing"/>
    <w:uiPriority w:val="1"/>
    <w:qFormat/>
    <w:locked/>
    <w:rsid w:val="00815CAE"/>
    <w:rPr>
      <w:rFonts w:asciiTheme="minorHAnsi" w:eastAsiaTheme="minorHAnsi" w:hAnsiTheme="minorHAnsi" w:cstheme="minorBidi"/>
      <w:sz w:val="22"/>
      <w:szCs w:val="22"/>
      <w:lang w:val="en-GB"/>
    </w:rPr>
  </w:style>
  <w:style w:type="character" w:styleId="Hyperlink">
    <w:name w:val="Hyperlink"/>
    <w:basedOn w:val="DefaultParagraphFont"/>
    <w:qFormat/>
    <w:rsid w:val="00342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7710">
      <w:bodyDiv w:val="1"/>
      <w:marLeft w:val="0"/>
      <w:marRight w:val="0"/>
      <w:marTop w:val="0"/>
      <w:marBottom w:val="0"/>
      <w:divBdr>
        <w:top w:val="none" w:sz="0" w:space="0" w:color="auto"/>
        <w:left w:val="none" w:sz="0" w:space="0" w:color="auto"/>
        <w:bottom w:val="none" w:sz="0" w:space="0" w:color="auto"/>
        <w:right w:val="none" w:sz="0" w:space="0" w:color="auto"/>
      </w:divBdr>
      <w:divsChild>
        <w:div w:id="1458596932">
          <w:marLeft w:val="0"/>
          <w:marRight w:val="0"/>
          <w:marTop w:val="0"/>
          <w:marBottom w:val="0"/>
          <w:divBdr>
            <w:top w:val="none" w:sz="0" w:space="0" w:color="auto"/>
            <w:left w:val="none" w:sz="0" w:space="0" w:color="auto"/>
            <w:bottom w:val="none" w:sz="0" w:space="0" w:color="auto"/>
            <w:right w:val="none" w:sz="0" w:space="0" w:color="auto"/>
          </w:divBdr>
          <w:divsChild>
            <w:div w:id="1129863330">
              <w:marLeft w:val="0"/>
              <w:marRight w:val="0"/>
              <w:marTop w:val="0"/>
              <w:marBottom w:val="0"/>
              <w:divBdr>
                <w:top w:val="none" w:sz="0" w:space="0" w:color="auto"/>
                <w:left w:val="none" w:sz="0" w:space="0" w:color="auto"/>
                <w:bottom w:val="none" w:sz="0" w:space="0" w:color="auto"/>
                <w:right w:val="none" w:sz="0" w:space="0" w:color="auto"/>
              </w:divBdr>
              <w:divsChild>
                <w:div w:id="435567398">
                  <w:marLeft w:val="0"/>
                  <w:marRight w:val="0"/>
                  <w:marTop w:val="0"/>
                  <w:marBottom w:val="0"/>
                  <w:divBdr>
                    <w:top w:val="none" w:sz="0" w:space="0" w:color="auto"/>
                    <w:left w:val="none" w:sz="0" w:space="0" w:color="auto"/>
                    <w:bottom w:val="none" w:sz="0" w:space="0" w:color="auto"/>
                    <w:right w:val="none" w:sz="0" w:space="0" w:color="auto"/>
                  </w:divBdr>
                  <w:divsChild>
                    <w:div w:id="1632899127">
                      <w:marLeft w:val="180"/>
                      <w:marRight w:val="0"/>
                      <w:marTop w:val="0"/>
                      <w:marBottom w:val="0"/>
                      <w:divBdr>
                        <w:top w:val="none" w:sz="0" w:space="0" w:color="auto"/>
                        <w:left w:val="none" w:sz="0" w:space="0" w:color="auto"/>
                        <w:bottom w:val="none" w:sz="0" w:space="0" w:color="auto"/>
                        <w:right w:val="none" w:sz="0" w:space="0" w:color="auto"/>
                      </w:divBdr>
                      <w:divsChild>
                        <w:div w:id="1631983520">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single" w:sz="2" w:space="15" w:color="ACACAD"/>
                                <w:left w:val="single" w:sz="6" w:space="0" w:color="ACACAD"/>
                                <w:bottom w:val="single" w:sz="6" w:space="8" w:color="ACACAD"/>
                                <w:right w:val="single" w:sz="6" w:space="0" w:color="ACACAD"/>
                              </w:divBdr>
                              <w:divsChild>
                                <w:div w:id="328138978">
                                  <w:marLeft w:val="0"/>
                                  <w:marRight w:val="0"/>
                                  <w:marTop w:val="0"/>
                                  <w:marBottom w:val="0"/>
                                  <w:divBdr>
                                    <w:top w:val="none" w:sz="0" w:space="0" w:color="auto"/>
                                    <w:left w:val="none" w:sz="0" w:space="0" w:color="auto"/>
                                    <w:bottom w:val="none" w:sz="0" w:space="0" w:color="auto"/>
                                    <w:right w:val="none" w:sz="0" w:space="0" w:color="auto"/>
                                  </w:divBdr>
                                  <w:divsChild>
                                    <w:div w:id="178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0187">
      <w:bodyDiv w:val="1"/>
      <w:marLeft w:val="0"/>
      <w:marRight w:val="0"/>
      <w:marTop w:val="0"/>
      <w:marBottom w:val="0"/>
      <w:divBdr>
        <w:top w:val="none" w:sz="0" w:space="0" w:color="auto"/>
        <w:left w:val="none" w:sz="0" w:space="0" w:color="auto"/>
        <w:bottom w:val="none" w:sz="0" w:space="0" w:color="auto"/>
        <w:right w:val="none" w:sz="0" w:space="0" w:color="auto"/>
      </w:divBdr>
      <w:divsChild>
        <w:div w:id="277688742">
          <w:marLeft w:val="0"/>
          <w:marRight w:val="0"/>
          <w:marTop w:val="0"/>
          <w:marBottom w:val="0"/>
          <w:divBdr>
            <w:top w:val="none" w:sz="0" w:space="0" w:color="auto"/>
            <w:left w:val="none" w:sz="0" w:space="0" w:color="auto"/>
            <w:bottom w:val="none" w:sz="0" w:space="0" w:color="auto"/>
            <w:right w:val="none" w:sz="0" w:space="0" w:color="auto"/>
          </w:divBdr>
          <w:divsChild>
            <w:div w:id="928461491">
              <w:marLeft w:val="0"/>
              <w:marRight w:val="0"/>
              <w:marTop w:val="0"/>
              <w:marBottom w:val="0"/>
              <w:divBdr>
                <w:top w:val="none" w:sz="0" w:space="0" w:color="auto"/>
                <w:left w:val="none" w:sz="0" w:space="0" w:color="auto"/>
                <w:bottom w:val="none" w:sz="0" w:space="0" w:color="auto"/>
                <w:right w:val="none" w:sz="0" w:space="0" w:color="auto"/>
              </w:divBdr>
              <w:divsChild>
                <w:div w:id="929504079">
                  <w:marLeft w:val="0"/>
                  <w:marRight w:val="0"/>
                  <w:marTop w:val="0"/>
                  <w:marBottom w:val="0"/>
                  <w:divBdr>
                    <w:top w:val="none" w:sz="0" w:space="0" w:color="auto"/>
                    <w:left w:val="none" w:sz="0" w:space="0" w:color="auto"/>
                    <w:bottom w:val="none" w:sz="0" w:space="0" w:color="auto"/>
                    <w:right w:val="none" w:sz="0" w:space="0" w:color="auto"/>
                  </w:divBdr>
                  <w:divsChild>
                    <w:div w:id="2012904278">
                      <w:marLeft w:val="180"/>
                      <w:marRight w:val="0"/>
                      <w:marTop w:val="0"/>
                      <w:marBottom w:val="0"/>
                      <w:divBdr>
                        <w:top w:val="none" w:sz="0" w:space="0" w:color="auto"/>
                        <w:left w:val="none" w:sz="0" w:space="0" w:color="auto"/>
                        <w:bottom w:val="none" w:sz="0" w:space="0" w:color="auto"/>
                        <w:right w:val="none" w:sz="0" w:space="0" w:color="auto"/>
                      </w:divBdr>
                      <w:divsChild>
                        <w:div w:id="65037142">
                          <w:marLeft w:val="0"/>
                          <w:marRight w:val="0"/>
                          <w:marTop w:val="0"/>
                          <w:marBottom w:val="0"/>
                          <w:divBdr>
                            <w:top w:val="none" w:sz="0" w:space="0" w:color="auto"/>
                            <w:left w:val="none" w:sz="0" w:space="0" w:color="auto"/>
                            <w:bottom w:val="none" w:sz="0" w:space="0" w:color="auto"/>
                            <w:right w:val="none" w:sz="0" w:space="0" w:color="auto"/>
                          </w:divBdr>
                          <w:divsChild>
                            <w:div w:id="1830831019">
                              <w:marLeft w:val="0"/>
                              <w:marRight w:val="0"/>
                              <w:marTop w:val="0"/>
                              <w:marBottom w:val="0"/>
                              <w:divBdr>
                                <w:top w:val="single" w:sz="2" w:space="15" w:color="ACACAD"/>
                                <w:left w:val="single" w:sz="6" w:space="0" w:color="ACACAD"/>
                                <w:bottom w:val="single" w:sz="6" w:space="8" w:color="ACACAD"/>
                                <w:right w:val="single" w:sz="6" w:space="0" w:color="ACACAD"/>
                              </w:divBdr>
                              <w:divsChild>
                                <w:div w:id="1394622665">
                                  <w:marLeft w:val="0"/>
                                  <w:marRight w:val="0"/>
                                  <w:marTop w:val="0"/>
                                  <w:marBottom w:val="0"/>
                                  <w:divBdr>
                                    <w:top w:val="none" w:sz="0" w:space="0" w:color="auto"/>
                                    <w:left w:val="none" w:sz="0" w:space="0" w:color="auto"/>
                                    <w:bottom w:val="none" w:sz="0" w:space="0" w:color="auto"/>
                                    <w:right w:val="none" w:sz="0" w:space="0" w:color="auto"/>
                                  </w:divBdr>
                                  <w:divsChild>
                                    <w:div w:id="1678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9264">
      <w:bodyDiv w:val="1"/>
      <w:marLeft w:val="0"/>
      <w:marRight w:val="0"/>
      <w:marTop w:val="0"/>
      <w:marBottom w:val="0"/>
      <w:divBdr>
        <w:top w:val="none" w:sz="0" w:space="0" w:color="auto"/>
        <w:left w:val="none" w:sz="0" w:space="0" w:color="auto"/>
        <w:bottom w:val="none" w:sz="0" w:space="0" w:color="auto"/>
        <w:right w:val="none" w:sz="0" w:space="0" w:color="auto"/>
      </w:divBdr>
      <w:divsChild>
        <w:div w:id="1999769389">
          <w:marLeft w:val="0"/>
          <w:marRight w:val="0"/>
          <w:marTop w:val="0"/>
          <w:marBottom w:val="0"/>
          <w:divBdr>
            <w:top w:val="none" w:sz="0" w:space="0" w:color="auto"/>
            <w:left w:val="none" w:sz="0" w:space="0" w:color="auto"/>
            <w:bottom w:val="none" w:sz="0" w:space="0" w:color="auto"/>
            <w:right w:val="none" w:sz="0" w:space="0" w:color="auto"/>
          </w:divBdr>
          <w:divsChild>
            <w:div w:id="173417658">
              <w:marLeft w:val="0"/>
              <w:marRight w:val="0"/>
              <w:marTop w:val="0"/>
              <w:marBottom w:val="0"/>
              <w:divBdr>
                <w:top w:val="none" w:sz="0" w:space="0" w:color="auto"/>
                <w:left w:val="none" w:sz="0" w:space="0" w:color="auto"/>
                <w:bottom w:val="none" w:sz="0" w:space="0" w:color="auto"/>
                <w:right w:val="none" w:sz="0" w:space="0" w:color="auto"/>
              </w:divBdr>
              <w:divsChild>
                <w:div w:id="339821166">
                  <w:marLeft w:val="0"/>
                  <w:marRight w:val="0"/>
                  <w:marTop w:val="0"/>
                  <w:marBottom w:val="0"/>
                  <w:divBdr>
                    <w:top w:val="none" w:sz="0" w:space="0" w:color="auto"/>
                    <w:left w:val="none" w:sz="0" w:space="0" w:color="auto"/>
                    <w:bottom w:val="none" w:sz="0" w:space="0" w:color="auto"/>
                    <w:right w:val="none" w:sz="0" w:space="0" w:color="auto"/>
                  </w:divBdr>
                  <w:divsChild>
                    <w:div w:id="1816796396">
                      <w:marLeft w:val="180"/>
                      <w:marRight w:val="0"/>
                      <w:marTop w:val="0"/>
                      <w:marBottom w:val="0"/>
                      <w:divBdr>
                        <w:top w:val="none" w:sz="0" w:space="0" w:color="auto"/>
                        <w:left w:val="none" w:sz="0" w:space="0" w:color="auto"/>
                        <w:bottom w:val="none" w:sz="0" w:space="0" w:color="auto"/>
                        <w:right w:val="none" w:sz="0" w:space="0" w:color="auto"/>
                      </w:divBdr>
                      <w:divsChild>
                        <w:div w:id="1917587913">
                          <w:marLeft w:val="0"/>
                          <w:marRight w:val="0"/>
                          <w:marTop w:val="0"/>
                          <w:marBottom w:val="0"/>
                          <w:divBdr>
                            <w:top w:val="none" w:sz="0" w:space="0" w:color="auto"/>
                            <w:left w:val="none" w:sz="0" w:space="0" w:color="auto"/>
                            <w:bottom w:val="none" w:sz="0" w:space="0" w:color="auto"/>
                            <w:right w:val="none" w:sz="0" w:space="0" w:color="auto"/>
                          </w:divBdr>
                          <w:divsChild>
                            <w:div w:id="181668741">
                              <w:marLeft w:val="0"/>
                              <w:marRight w:val="0"/>
                              <w:marTop w:val="0"/>
                              <w:marBottom w:val="0"/>
                              <w:divBdr>
                                <w:top w:val="single" w:sz="2" w:space="15" w:color="ACACAD"/>
                                <w:left w:val="single" w:sz="6" w:space="0" w:color="ACACAD"/>
                                <w:bottom w:val="single" w:sz="6" w:space="8" w:color="ACACAD"/>
                                <w:right w:val="single" w:sz="6" w:space="0" w:color="ACACAD"/>
                              </w:divBdr>
                              <w:divsChild>
                                <w:div w:id="719282226">
                                  <w:marLeft w:val="0"/>
                                  <w:marRight w:val="0"/>
                                  <w:marTop w:val="0"/>
                                  <w:marBottom w:val="0"/>
                                  <w:divBdr>
                                    <w:top w:val="none" w:sz="0" w:space="0" w:color="auto"/>
                                    <w:left w:val="none" w:sz="0" w:space="0" w:color="auto"/>
                                    <w:bottom w:val="none" w:sz="0" w:space="0" w:color="auto"/>
                                    <w:right w:val="none" w:sz="0" w:space="0" w:color="auto"/>
                                  </w:divBdr>
                                  <w:divsChild>
                                    <w:div w:id="508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42645">
      <w:bodyDiv w:val="1"/>
      <w:marLeft w:val="0"/>
      <w:marRight w:val="0"/>
      <w:marTop w:val="0"/>
      <w:marBottom w:val="0"/>
      <w:divBdr>
        <w:top w:val="none" w:sz="0" w:space="0" w:color="auto"/>
        <w:left w:val="none" w:sz="0" w:space="0" w:color="auto"/>
        <w:bottom w:val="none" w:sz="0" w:space="0" w:color="auto"/>
        <w:right w:val="none" w:sz="0" w:space="0" w:color="auto"/>
      </w:divBdr>
    </w:div>
    <w:div w:id="1986544681">
      <w:bodyDiv w:val="1"/>
      <w:marLeft w:val="0"/>
      <w:marRight w:val="0"/>
      <w:marTop w:val="0"/>
      <w:marBottom w:val="0"/>
      <w:divBdr>
        <w:top w:val="none" w:sz="0" w:space="0" w:color="auto"/>
        <w:left w:val="none" w:sz="0" w:space="0" w:color="auto"/>
        <w:bottom w:val="none" w:sz="0" w:space="0" w:color="auto"/>
        <w:right w:val="none" w:sz="0" w:space="0" w:color="auto"/>
      </w:divBdr>
      <w:divsChild>
        <w:div w:id="232858376">
          <w:marLeft w:val="0"/>
          <w:marRight w:val="0"/>
          <w:marTop w:val="0"/>
          <w:marBottom w:val="0"/>
          <w:divBdr>
            <w:top w:val="none" w:sz="0" w:space="0" w:color="auto"/>
            <w:left w:val="none" w:sz="0" w:space="0" w:color="auto"/>
            <w:bottom w:val="none" w:sz="0" w:space="0" w:color="auto"/>
            <w:right w:val="none" w:sz="0" w:space="0" w:color="auto"/>
          </w:divBdr>
          <w:divsChild>
            <w:div w:id="1100218558">
              <w:marLeft w:val="0"/>
              <w:marRight w:val="0"/>
              <w:marTop w:val="0"/>
              <w:marBottom w:val="0"/>
              <w:divBdr>
                <w:top w:val="none" w:sz="0" w:space="0" w:color="auto"/>
                <w:left w:val="none" w:sz="0" w:space="0" w:color="auto"/>
                <w:bottom w:val="none" w:sz="0" w:space="0" w:color="auto"/>
                <w:right w:val="none" w:sz="0" w:space="0" w:color="auto"/>
              </w:divBdr>
              <w:divsChild>
                <w:div w:id="274363051">
                  <w:marLeft w:val="0"/>
                  <w:marRight w:val="0"/>
                  <w:marTop w:val="0"/>
                  <w:marBottom w:val="0"/>
                  <w:divBdr>
                    <w:top w:val="none" w:sz="0" w:space="0" w:color="auto"/>
                    <w:left w:val="none" w:sz="0" w:space="0" w:color="auto"/>
                    <w:bottom w:val="none" w:sz="0" w:space="0" w:color="auto"/>
                    <w:right w:val="none" w:sz="0" w:space="0" w:color="auto"/>
                  </w:divBdr>
                  <w:divsChild>
                    <w:div w:id="726535453">
                      <w:marLeft w:val="180"/>
                      <w:marRight w:val="0"/>
                      <w:marTop w:val="0"/>
                      <w:marBottom w:val="0"/>
                      <w:divBdr>
                        <w:top w:val="none" w:sz="0" w:space="0" w:color="auto"/>
                        <w:left w:val="none" w:sz="0" w:space="0" w:color="auto"/>
                        <w:bottom w:val="none" w:sz="0" w:space="0" w:color="auto"/>
                        <w:right w:val="none" w:sz="0" w:space="0" w:color="auto"/>
                      </w:divBdr>
                      <w:divsChild>
                        <w:div w:id="278029287">
                          <w:marLeft w:val="0"/>
                          <w:marRight w:val="0"/>
                          <w:marTop w:val="0"/>
                          <w:marBottom w:val="0"/>
                          <w:divBdr>
                            <w:top w:val="none" w:sz="0" w:space="0" w:color="auto"/>
                            <w:left w:val="none" w:sz="0" w:space="0" w:color="auto"/>
                            <w:bottom w:val="none" w:sz="0" w:space="0" w:color="auto"/>
                            <w:right w:val="none" w:sz="0" w:space="0" w:color="auto"/>
                          </w:divBdr>
                          <w:divsChild>
                            <w:div w:id="113644786">
                              <w:marLeft w:val="0"/>
                              <w:marRight w:val="0"/>
                              <w:marTop w:val="0"/>
                              <w:marBottom w:val="0"/>
                              <w:divBdr>
                                <w:top w:val="single" w:sz="2" w:space="15" w:color="ACACAD"/>
                                <w:left w:val="single" w:sz="6" w:space="0" w:color="ACACAD"/>
                                <w:bottom w:val="single" w:sz="6" w:space="8" w:color="ACACAD"/>
                                <w:right w:val="single" w:sz="6" w:space="0" w:color="ACACAD"/>
                              </w:divBdr>
                              <w:divsChild>
                                <w:div w:id="232548790">
                                  <w:marLeft w:val="0"/>
                                  <w:marRight w:val="0"/>
                                  <w:marTop w:val="0"/>
                                  <w:marBottom w:val="0"/>
                                  <w:divBdr>
                                    <w:top w:val="none" w:sz="0" w:space="0" w:color="auto"/>
                                    <w:left w:val="none" w:sz="0" w:space="0" w:color="auto"/>
                                    <w:bottom w:val="none" w:sz="0" w:space="0" w:color="auto"/>
                                    <w:right w:val="none" w:sz="0" w:space="0" w:color="auto"/>
                                  </w:divBdr>
                                  <w:divsChild>
                                    <w:div w:id="1075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p16\AppData\Local\Tem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F002-8CFE-4D24-A2A6-0F0D48D9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3549</TotalTime>
  <Pages>13</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Paper Number</vt:lpstr>
    </vt:vector>
  </TitlesOfParts>
  <Company>SAE International</Company>
  <LinksUpToDate>false</LinksUpToDate>
  <CharactersWithSpaces>56101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Angad Panesar</dc:creator>
  <cp:lastModifiedBy>Angad Panesar</cp:lastModifiedBy>
  <cp:revision>251</cp:revision>
  <cp:lastPrinted>2013-03-17T13:21:00Z</cp:lastPrinted>
  <dcterms:created xsi:type="dcterms:W3CDTF">2013-02-22T16:16:00Z</dcterms:created>
  <dcterms:modified xsi:type="dcterms:W3CDTF">2013-06-16T10:37:00Z</dcterms:modified>
</cp:coreProperties>
</file>