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02EB8" w14:textId="7C6EE879" w:rsidR="0018665F" w:rsidRPr="0018665F" w:rsidRDefault="0018665F" w:rsidP="0018665F">
      <w:r w:rsidRPr="0018665F">
        <w:t xml:space="preserve">This is the </w:t>
      </w:r>
      <w:r>
        <w:t>editor</w:t>
      </w:r>
      <w:r w:rsidRPr="0018665F">
        <w:t>s</w:t>
      </w:r>
      <w:r>
        <w:t>’</w:t>
      </w:r>
      <w:r w:rsidRPr="0018665F">
        <w:t xml:space="preserve"> version of a work that was submitted to / accepted for publication.</w:t>
      </w:r>
    </w:p>
    <w:p w14:paraId="03A9D364" w14:textId="77777777" w:rsidR="0018665F" w:rsidRDefault="0018665F" w:rsidP="0018665F"/>
    <w:p w14:paraId="3FB9CB3B" w14:textId="77777777" w:rsidR="001819B1" w:rsidRDefault="0018665F" w:rsidP="0018665F">
      <w:r w:rsidRPr="0018665F">
        <w:t xml:space="preserve">To cite this article: </w:t>
      </w:r>
    </w:p>
    <w:p w14:paraId="5279C50D" w14:textId="77777777" w:rsidR="001819B1" w:rsidRDefault="0018665F" w:rsidP="0018665F">
      <w:r>
        <w:t xml:space="preserve">Baker, W., Connolly, M., Hemming, P.J., Power, S. &amp; Taylor, C. </w:t>
      </w:r>
      <w:r w:rsidRPr="0018665F">
        <w:t>(201</w:t>
      </w:r>
      <w:r>
        <w:t>7</w:t>
      </w:r>
      <w:r w:rsidRPr="0018665F">
        <w:t>)</w:t>
      </w:r>
      <w:r>
        <w:t xml:space="preserve"> ‘Editors’ Report’</w:t>
      </w:r>
      <w:r w:rsidRPr="0018665F">
        <w:t>,</w:t>
      </w:r>
      <w:r w:rsidRPr="0018665F">
        <w:t xml:space="preserve"> </w:t>
      </w:r>
      <w:r>
        <w:t>British Educational Research Journal</w:t>
      </w:r>
      <w:r>
        <w:t xml:space="preserve"> </w:t>
      </w:r>
      <w:r>
        <w:t>Vol. 43, No. 1, February 2017, pp. 1–6</w:t>
      </w:r>
      <w:r>
        <w:t xml:space="preserve">, </w:t>
      </w:r>
    </w:p>
    <w:p w14:paraId="5B2057D9" w14:textId="55B66CD3" w:rsidR="0018665F" w:rsidRPr="0018665F" w:rsidRDefault="0018665F" w:rsidP="0018665F">
      <w:r>
        <w:t>DOI: 10.1002/berj.3279</w:t>
      </w:r>
    </w:p>
    <w:p w14:paraId="0E939D56" w14:textId="77777777" w:rsidR="0018665F" w:rsidRDefault="0018665F" w:rsidP="00AF1D37">
      <w:pPr>
        <w:rPr>
          <w:b/>
          <w:bCs/>
        </w:rPr>
      </w:pPr>
    </w:p>
    <w:p w14:paraId="331CD652" w14:textId="77777777" w:rsidR="004B44E8" w:rsidRDefault="004B44E8" w:rsidP="00AF1D37">
      <w:pPr>
        <w:rPr>
          <w:b/>
          <w:bCs/>
        </w:rPr>
      </w:pPr>
    </w:p>
    <w:p w14:paraId="11C18C0D" w14:textId="5007A411" w:rsidR="00AF1D37" w:rsidRPr="00AF1D37" w:rsidRDefault="00AF1D37" w:rsidP="00AF1D37">
      <w:pPr>
        <w:rPr>
          <w:b/>
          <w:bCs/>
        </w:rPr>
      </w:pPr>
      <w:r w:rsidRPr="00AF1D37">
        <w:rPr>
          <w:b/>
          <w:bCs/>
        </w:rPr>
        <w:t>Editors’ Report</w:t>
      </w:r>
    </w:p>
    <w:p w14:paraId="6A089D5C" w14:textId="77777777" w:rsidR="00AF1D37" w:rsidRDefault="00AF1D37" w:rsidP="00AF1D37"/>
    <w:p w14:paraId="7139B222" w14:textId="129225DB" w:rsidR="00AF1D37" w:rsidRDefault="00AF1D37" w:rsidP="00AF1D37">
      <w:r>
        <w:t>We have now almost completed our third year as editors – which will be our last full</w:t>
      </w:r>
      <w:r>
        <w:t xml:space="preserve"> </w:t>
      </w:r>
      <w:r>
        <w:t>year as we will be handing over to new editors at some point in 2017. As observant</w:t>
      </w:r>
      <w:r>
        <w:t xml:space="preserve"> </w:t>
      </w:r>
      <w:r>
        <w:t>readers will note, we have had a slight change of editorial team. Carina Girvan joined</w:t>
      </w:r>
      <w:r>
        <w:t xml:space="preserve"> </w:t>
      </w:r>
      <w:r>
        <w:t>the new editorial team of BJET (the British Journal of Educational Technology), which is</w:t>
      </w:r>
      <w:r>
        <w:t xml:space="preserve"> </w:t>
      </w:r>
      <w:r>
        <w:t>also in the BERA portfolio. In her place, we have been lucky enough to be joined by</w:t>
      </w:r>
      <w:r>
        <w:t xml:space="preserve"> </w:t>
      </w:r>
      <w:r>
        <w:t>two colleagues – William Baker (a sociologist of education whose work focuses broadly</w:t>
      </w:r>
      <w:r>
        <w:t xml:space="preserve"> </w:t>
      </w:r>
      <w:r>
        <w:t>on educational inequality, culture, social class and aspirations) and Peter Hemming</w:t>
      </w:r>
      <w:r>
        <w:t xml:space="preserve"> </w:t>
      </w:r>
      <w:r>
        <w:t>(a sociologist and human geographer with interests in schooling, faith-based education,</w:t>
      </w:r>
      <w:r>
        <w:t xml:space="preserve"> </w:t>
      </w:r>
      <w:r>
        <w:t>childhood/youth, identity and citizenship and qualitative research methods).</w:t>
      </w:r>
    </w:p>
    <w:p w14:paraId="2A14FBD2" w14:textId="77777777" w:rsidR="00AF1D37" w:rsidRDefault="00AF1D37" w:rsidP="00AF1D37"/>
    <w:p w14:paraId="23B14EBB" w14:textId="682A1028" w:rsidR="00AF1D37" w:rsidRDefault="00AF1D37" w:rsidP="00AF1D37">
      <w:r>
        <w:t>We have really enjoyed editing BERJ – it gives a wonderful opportunity to appreciate</w:t>
      </w:r>
      <w:r>
        <w:t xml:space="preserve"> </w:t>
      </w:r>
      <w:r>
        <w:t>and shape (albeit in a small way) the wide field of educational research. We continue</w:t>
      </w:r>
      <w:r>
        <w:t xml:space="preserve"> </w:t>
      </w:r>
      <w:r>
        <w:t>to be impressed by the scholarship and imagination of many of the articles</w:t>
      </w:r>
      <w:r>
        <w:t xml:space="preserve"> </w:t>
      </w:r>
      <w:r>
        <w:t>submitted and hope we have provided you with an interesting diet. We have tried to</w:t>
      </w:r>
      <w:r>
        <w:t xml:space="preserve"> </w:t>
      </w:r>
      <w:r>
        <w:t>ensure that we have included a spectrum of excellent research which covers different</w:t>
      </w:r>
      <w:r>
        <w:t xml:space="preserve"> </w:t>
      </w:r>
      <w:r>
        <w:t>phases (from pre-school to higher and adult education), different disciplines and</w:t>
      </w:r>
      <w:r>
        <w:t xml:space="preserve"> </w:t>
      </w:r>
      <w:r>
        <w:t>methodological approaches. We also try to ensure that every article speaks to issues</w:t>
      </w:r>
      <w:r>
        <w:t xml:space="preserve"> </w:t>
      </w:r>
      <w:r>
        <w:t>that are of international concern.</w:t>
      </w:r>
    </w:p>
    <w:p w14:paraId="58A73D1C" w14:textId="77777777" w:rsidR="00AF1D37" w:rsidRDefault="00AF1D37" w:rsidP="00AF1D37"/>
    <w:p w14:paraId="05860A88" w14:textId="2106E437" w:rsidR="00AF1D37" w:rsidRDefault="00AF1D37" w:rsidP="00AF1D37">
      <w:r>
        <w:t>One of the issues that is facing the educational research community is the ongoing</w:t>
      </w:r>
      <w:r>
        <w:t xml:space="preserve"> </w:t>
      </w:r>
      <w:r>
        <w:t>debate about the ‘usefulness’ of our research for policy-makers and practitioners. Last</w:t>
      </w:r>
      <w:r>
        <w:t xml:space="preserve"> </w:t>
      </w:r>
      <w:r>
        <w:t>year’s volume of BERJ concluded with Professor Gemma Moss’s excellent BERA</w:t>
      </w:r>
      <w:r>
        <w:t xml:space="preserve"> </w:t>
      </w:r>
      <w:r>
        <w:t>Presidential Address. Through a compelling analysis of the development of literacy</w:t>
      </w:r>
      <w:r>
        <w:t xml:space="preserve"> </w:t>
      </w:r>
      <w:r>
        <w:t>policy in England, she maps out the complex terrain of the ‘knowledge landscape’.</w:t>
      </w:r>
      <w:r>
        <w:t xml:space="preserve"> </w:t>
      </w:r>
      <w:r>
        <w:t>She argues that we need to find more profitable ways of working across the current</w:t>
      </w:r>
      <w:r>
        <w:t xml:space="preserve"> </w:t>
      </w:r>
      <w:r>
        <w:t>division of labour epitomised by the policy-research-practice relationship – but in</w:t>
      </w:r>
      <w:r>
        <w:t xml:space="preserve"> </w:t>
      </w:r>
      <w:r>
        <w:t>ways which do not compromise the complexity of the research process and research</w:t>
      </w:r>
      <w:r>
        <w:t xml:space="preserve"> </w:t>
      </w:r>
      <w:r>
        <w:t>findings.</w:t>
      </w:r>
    </w:p>
    <w:p w14:paraId="206DDCE9" w14:textId="77777777" w:rsidR="00AF1D37" w:rsidRDefault="00AF1D37" w:rsidP="00AF1D37"/>
    <w:p w14:paraId="0A289B0C" w14:textId="0BF66179" w:rsidR="00AF1D37" w:rsidRDefault="00AF1D37" w:rsidP="00AF1D37">
      <w:r>
        <w:t>We believe that BERJ (and BERA) has an important role to play in contributing to</w:t>
      </w:r>
      <w:r>
        <w:t xml:space="preserve"> </w:t>
      </w:r>
      <w:r>
        <w:t xml:space="preserve">debates in </w:t>
      </w:r>
      <w:proofErr w:type="gramStart"/>
      <w:r>
        <w:t>this areas</w:t>
      </w:r>
      <w:proofErr w:type="gramEnd"/>
      <w:r>
        <w:t xml:space="preserve"> – and are confident that the research we disseminate in this Journal</w:t>
      </w:r>
      <w:r>
        <w:t xml:space="preserve"> </w:t>
      </w:r>
      <w:r>
        <w:t>is both complex and ‘useful’. As the following sections outlines, BERJ continues</w:t>
      </w:r>
      <w:r>
        <w:t xml:space="preserve"> </w:t>
      </w:r>
      <w:r>
        <w:t>to increase its influence and reach.</w:t>
      </w:r>
    </w:p>
    <w:p w14:paraId="462E6E84" w14:textId="77777777" w:rsidR="00AF1D37" w:rsidRDefault="00AF1D37" w:rsidP="00AF1D37"/>
    <w:p w14:paraId="52D0DE1F" w14:textId="06060B65" w:rsidR="00AF1D37" w:rsidRDefault="00AF1D37" w:rsidP="00AF1D37">
      <w:pPr>
        <w:rPr>
          <w:b/>
          <w:bCs/>
        </w:rPr>
      </w:pPr>
      <w:r w:rsidRPr="00AF1D37">
        <w:rPr>
          <w:b/>
          <w:bCs/>
        </w:rPr>
        <w:t>Impact Factor</w:t>
      </w:r>
    </w:p>
    <w:p w14:paraId="30EFCA27" w14:textId="77777777" w:rsidR="00AF1D37" w:rsidRPr="00AF1D37" w:rsidRDefault="00AF1D37" w:rsidP="00AF1D37">
      <w:pPr>
        <w:rPr>
          <w:b/>
          <w:bCs/>
        </w:rPr>
      </w:pPr>
    </w:p>
    <w:p w14:paraId="7BFC3AA6" w14:textId="565E8004" w:rsidR="00AF1D37" w:rsidRDefault="00AF1D37" w:rsidP="00AF1D37">
      <w:r>
        <w:t>We all know that these kinds of indices are problematic, but we also know that they</w:t>
      </w:r>
      <w:r>
        <w:t xml:space="preserve"> </w:t>
      </w:r>
      <w:r>
        <w:t>do matter. Maintaining a high Impact Factor means that we will continue to attract</w:t>
      </w:r>
      <w:r>
        <w:t xml:space="preserve"> </w:t>
      </w:r>
      <w:r>
        <w:t>high quality submissions from around the world. Indeed, we have heard of some institutions</w:t>
      </w:r>
      <w:r>
        <w:t xml:space="preserve"> </w:t>
      </w:r>
      <w:r>
        <w:t xml:space="preserve">that will </w:t>
      </w:r>
      <w:r>
        <w:lastRenderedPageBreak/>
        <w:t>only acknowledge articles that are placed in journals with an Impact</w:t>
      </w:r>
      <w:r>
        <w:t xml:space="preserve"> </w:t>
      </w:r>
      <w:r>
        <w:t>Factor greater than 1. So, whatever our own personal feelings about these kinds of</w:t>
      </w:r>
      <w:r>
        <w:t xml:space="preserve"> </w:t>
      </w:r>
      <w:r>
        <w:t>metric, they cannot be</w:t>
      </w:r>
      <w:r>
        <w:t xml:space="preserve"> </w:t>
      </w:r>
      <w:r>
        <w:t>ignored.</w:t>
      </w:r>
    </w:p>
    <w:p w14:paraId="7D2D9DAF" w14:textId="5A073A73" w:rsidR="00AF1D37" w:rsidRDefault="00AF1D37" w:rsidP="00AF1D37"/>
    <w:p w14:paraId="76FF9225" w14:textId="3638AC96" w:rsidR="00AF1D37" w:rsidRDefault="00AF1D37" w:rsidP="00AF1D37">
      <w:r>
        <w:t>We are delighted, therefore, to report that the 2-year and 5-year Impact Factors for</w:t>
      </w:r>
      <w:r>
        <w:t xml:space="preserve"> </w:t>
      </w:r>
      <w:r>
        <w:t>BERJ have risen in the latest figures for 2015. In particular, the 2-year Impact Factor</w:t>
      </w:r>
      <w:r>
        <w:t xml:space="preserve"> </w:t>
      </w:r>
      <w:r>
        <w:t>has increased from 0.891 in 2014 to 1.124 in 2015. What is even more pleasing is that</w:t>
      </w:r>
      <w:r>
        <w:t xml:space="preserve"> </w:t>
      </w:r>
      <w:r>
        <w:t>this is based on the highest number of papers published during a year in the history of</w:t>
      </w:r>
      <w:r>
        <w:t xml:space="preserve"> </w:t>
      </w:r>
      <w:r>
        <w:t xml:space="preserve">the Journal; in 2015 we published 58 citable items. This now places BERJ as the </w:t>
      </w:r>
      <w:proofErr w:type="gramStart"/>
      <w:r>
        <w:t>highest</w:t>
      </w:r>
      <w:r>
        <w:t xml:space="preserve"> </w:t>
      </w:r>
      <w:r>
        <w:t>ranking</w:t>
      </w:r>
      <w:proofErr w:type="gramEnd"/>
      <w:r>
        <w:t xml:space="preserve"> non-specialist education journal in the UK, and 80th out of all 230 (and</w:t>
      </w:r>
      <w:r>
        <w:t xml:space="preserve"> </w:t>
      </w:r>
      <w:r>
        <w:t>US-dominated) education journals. However, just over 60% of papers published in</w:t>
      </w:r>
      <w:r>
        <w:t xml:space="preserve"> </w:t>
      </w:r>
      <w:r>
        <w:t>BERJ are not cited within two years of being published. While this does not reflect</w:t>
      </w:r>
      <w:r>
        <w:t xml:space="preserve"> </w:t>
      </w:r>
      <w:r>
        <w:t>how influential or well-read our papers are, this figure is quite high. For our ‘sister’</w:t>
      </w:r>
      <w:r>
        <w:t xml:space="preserve"> </w:t>
      </w:r>
      <w:r>
        <w:t>journal in the US, the American Educational Research Journal, this figure is below</w:t>
      </w:r>
      <w:r>
        <w:t xml:space="preserve"> </w:t>
      </w:r>
      <w:r>
        <w:t>30%. It is still incumbent on us all, therefore, to ensure that the articles we publish</w:t>
      </w:r>
      <w:r>
        <w:t xml:space="preserve"> </w:t>
      </w:r>
      <w:r>
        <w:t>continue to demonstrate originality, significance and rigour.</w:t>
      </w:r>
    </w:p>
    <w:p w14:paraId="3741C997" w14:textId="77777777" w:rsidR="00AF1D37" w:rsidRDefault="00AF1D37" w:rsidP="00AF1D37"/>
    <w:p w14:paraId="45969173" w14:textId="71DF6A30" w:rsidR="00AF1D37" w:rsidRPr="0018665F" w:rsidRDefault="00AF1D37" w:rsidP="00AF1D37">
      <w:pPr>
        <w:rPr>
          <w:b/>
          <w:bCs/>
        </w:rPr>
      </w:pPr>
      <w:r w:rsidRPr="0018665F">
        <w:rPr>
          <w:b/>
          <w:bCs/>
        </w:rPr>
        <w:t>Submission rates</w:t>
      </w:r>
    </w:p>
    <w:p w14:paraId="22F9A674" w14:textId="77777777" w:rsidR="00AF1D37" w:rsidRDefault="00AF1D37" w:rsidP="00AF1D37"/>
    <w:p w14:paraId="569F4B67" w14:textId="0997072C" w:rsidR="00AF1D37" w:rsidRDefault="00AF1D37" w:rsidP="00AF1D37">
      <w:r>
        <w:t>In terms of submission and subscription, 2016 proved to be another good year for the</w:t>
      </w:r>
      <w:r>
        <w:t xml:space="preserve"> </w:t>
      </w:r>
      <w:r>
        <w:t>Journal. In terms of ‘hard indicators’ of progress, subscription rates still remain</w:t>
      </w:r>
      <w:r>
        <w:t xml:space="preserve"> </w:t>
      </w:r>
      <w:r>
        <w:t>healthy – both in terms of individual ‘traditional’ subscriptions and as part of consortia/collection packages to institutions. International subscriptions are also strong.</w:t>
      </w:r>
      <w:r>
        <w:t xml:space="preserve"> </w:t>
      </w:r>
      <w:r>
        <w:t>Rates of manuscript submission have continued to be healthy, which means that we</w:t>
      </w:r>
      <w:r>
        <w:t xml:space="preserve"> </w:t>
      </w:r>
      <w:r>
        <w:t>are having to be more selective. As can be seen from Table 1, only around 11 per cent</w:t>
      </w:r>
      <w:r>
        <w:t xml:space="preserve"> </w:t>
      </w:r>
      <w:r>
        <w:t>of submissions are accepted.</w:t>
      </w:r>
    </w:p>
    <w:p w14:paraId="0C927A9B" w14:textId="3F12C94A" w:rsidR="00AF1D37" w:rsidRDefault="00AF1D37" w:rsidP="00AF1D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277"/>
        <w:gridCol w:w="1277"/>
        <w:gridCol w:w="1277"/>
        <w:gridCol w:w="1277"/>
        <w:gridCol w:w="1277"/>
        <w:gridCol w:w="1278"/>
      </w:tblGrid>
      <w:tr w:rsidR="0018665F" w14:paraId="0D7D8AF6" w14:textId="77777777" w:rsidTr="009135D7">
        <w:tc>
          <w:tcPr>
            <w:tcW w:w="1287" w:type="dxa"/>
          </w:tcPr>
          <w:p w14:paraId="61F85F7B" w14:textId="77777777" w:rsidR="0018665F" w:rsidRDefault="0018665F" w:rsidP="009135D7"/>
        </w:tc>
        <w:tc>
          <w:tcPr>
            <w:tcW w:w="1287" w:type="dxa"/>
          </w:tcPr>
          <w:p w14:paraId="1073CCCD" w14:textId="77777777" w:rsidR="0018665F" w:rsidRDefault="0018665F" w:rsidP="009135D7">
            <w:r>
              <w:t>2010-11</w:t>
            </w:r>
          </w:p>
        </w:tc>
        <w:tc>
          <w:tcPr>
            <w:tcW w:w="1287" w:type="dxa"/>
          </w:tcPr>
          <w:p w14:paraId="45848327" w14:textId="77777777" w:rsidR="0018665F" w:rsidRDefault="0018665F" w:rsidP="009135D7">
            <w:r>
              <w:t>2011-12</w:t>
            </w:r>
          </w:p>
        </w:tc>
        <w:tc>
          <w:tcPr>
            <w:tcW w:w="1287" w:type="dxa"/>
          </w:tcPr>
          <w:p w14:paraId="07A84F3B" w14:textId="77777777" w:rsidR="0018665F" w:rsidRDefault="0018665F" w:rsidP="009135D7">
            <w:r>
              <w:t>2012-13</w:t>
            </w:r>
          </w:p>
        </w:tc>
        <w:tc>
          <w:tcPr>
            <w:tcW w:w="1287" w:type="dxa"/>
          </w:tcPr>
          <w:p w14:paraId="5EF438AA" w14:textId="77777777" w:rsidR="0018665F" w:rsidRDefault="0018665F" w:rsidP="009135D7">
            <w:r>
              <w:t>2013-14</w:t>
            </w:r>
          </w:p>
        </w:tc>
        <w:tc>
          <w:tcPr>
            <w:tcW w:w="1287" w:type="dxa"/>
          </w:tcPr>
          <w:p w14:paraId="5A2EAE5E" w14:textId="77777777" w:rsidR="0018665F" w:rsidRDefault="0018665F" w:rsidP="009135D7">
            <w:r>
              <w:t>2014-15</w:t>
            </w:r>
          </w:p>
        </w:tc>
        <w:tc>
          <w:tcPr>
            <w:tcW w:w="1288" w:type="dxa"/>
          </w:tcPr>
          <w:p w14:paraId="4BE43978" w14:textId="77777777" w:rsidR="0018665F" w:rsidRDefault="0018665F" w:rsidP="009135D7">
            <w:r>
              <w:t>2015-16</w:t>
            </w:r>
          </w:p>
        </w:tc>
      </w:tr>
      <w:tr w:rsidR="0018665F" w14:paraId="12EDC4D2" w14:textId="77777777" w:rsidTr="009135D7">
        <w:tc>
          <w:tcPr>
            <w:tcW w:w="1287" w:type="dxa"/>
          </w:tcPr>
          <w:p w14:paraId="2448B518" w14:textId="77777777" w:rsidR="0018665F" w:rsidRDefault="0018665F" w:rsidP="009135D7">
            <w:r>
              <w:t>Submitted</w:t>
            </w:r>
          </w:p>
        </w:tc>
        <w:tc>
          <w:tcPr>
            <w:tcW w:w="1287" w:type="dxa"/>
          </w:tcPr>
          <w:p w14:paraId="14581644" w14:textId="77777777" w:rsidR="0018665F" w:rsidRDefault="0018665F" w:rsidP="009135D7">
            <w:r>
              <w:t>406</w:t>
            </w:r>
          </w:p>
        </w:tc>
        <w:tc>
          <w:tcPr>
            <w:tcW w:w="1287" w:type="dxa"/>
          </w:tcPr>
          <w:p w14:paraId="125AD931" w14:textId="77777777" w:rsidR="0018665F" w:rsidRDefault="0018665F" w:rsidP="009135D7">
            <w:r>
              <w:t>396</w:t>
            </w:r>
          </w:p>
        </w:tc>
        <w:tc>
          <w:tcPr>
            <w:tcW w:w="1287" w:type="dxa"/>
          </w:tcPr>
          <w:p w14:paraId="424ADFE7" w14:textId="77777777" w:rsidR="0018665F" w:rsidRDefault="0018665F" w:rsidP="009135D7">
            <w:r>
              <w:t>325</w:t>
            </w:r>
          </w:p>
        </w:tc>
        <w:tc>
          <w:tcPr>
            <w:tcW w:w="1287" w:type="dxa"/>
          </w:tcPr>
          <w:p w14:paraId="4D7C761C" w14:textId="77777777" w:rsidR="0018665F" w:rsidRDefault="0018665F" w:rsidP="009135D7">
            <w:r>
              <w:t>336</w:t>
            </w:r>
          </w:p>
        </w:tc>
        <w:tc>
          <w:tcPr>
            <w:tcW w:w="1287" w:type="dxa"/>
          </w:tcPr>
          <w:p w14:paraId="3ACBFE2B" w14:textId="77777777" w:rsidR="0018665F" w:rsidRDefault="0018665F" w:rsidP="009135D7">
            <w:r>
              <w:t>377</w:t>
            </w:r>
          </w:p>
        </w:tc>
        <w:tc>
          <w:tcPr>
            <w:tcW w:w="1288" w:type="dxa"/>
          </w:tcPr>
          <w:p w14:paraId="3EE283F9" w14:textId="77777777" w:rsidR="0018665F" w:rsidRDefault="0018665F" w:rsidP="009135D7">
            <w:r>
              <w:t>372</w:t>
            </w:r>
          </w:p>
        </w:tc>
      </w:tr>
      <w:tr w:rsidR="0018665F" w14:paraId="57C205DD" w14:textId="77777777" w:rsidTr="009135D7">
        <w:tc>
          <w:tcPr>
            <w:tcW w:w="1287" w:type="dxa"/>
          </w:tcPr>
          <w:p w14:paraId="46A46C34" w14:textId="77777777" w:rsidR="0018665F" w:rsidRDefault="0018665F" w:rsidP="009135D7">
            <w:r>
              <w:t>Rejected</w:t>
            </w:r>
          </w:p>
        </w:tc>
        <w:tc>
          <w:tcPr>
            <w:tcW w:w="1287" w:type="dxa"/>
          </w:tcPr>
          <w:p w14:paraId="2CD7DE69" w14:textId="77777777" w:rsidR="0018665F" w:rsidRDefault="0018665F" w:rsidP="009135D7">
            <w:r>
              <w:t>347</w:t>
            </w:r>
          </w:p>
        </w:tc>
        <w:tc>
          <w:tcPr>
            <w:tcW w:w="1287" w:type="dxa"/>
          </w:tcPr>
          <w:p w14:paraId="707C1B9D" w14:textId="77777777" w:rsidR="0018665F" w:rsidRDefault="0018665F" w:rsidP="009135D7">
            <w:r>
              <w:t>316</w:t>
            </w:r>
          </w:p>
        </w:tc>
        <w:tc>
          <w:tcPr>
            <w:tcW w:w="1287" w:type="dxa"/>
          </w:tcPr>
          <w:p w14:paraId="643C3C16" w14:textId="77777777" w:rsidR="0018665F" w:rsidRDefault="0018665F" w:rsidP="009135D7">
            <w:r>
              <w:t>269</w:t>
            </w:r>
          </w:p>
        </w:tc>
        <w:tc>
          <w:tcPr>
            <w:tcW w:w="1287" w:type="dxa"/>
          </w:tcPr>
          <w:p w14:paraId="75DA011D" w14:textId="77777777" w:rsidR="0018665F" w:rsidRDefault="0018665F" w:rsidP="009135D7">
            <w:r>
              <w:t>261</w:t>
            </w:r>
          </w:p>
        </w:tc>
        <w:tc>
          <w:tcPr>
            <w:tcW w:w="1287" w:type="dxa"/>
          </w:tcPr>
          <w:p w14:paraId="4769AFAB" w14:textId="77777777" w:rsidR="0018665F" w:rsidRDefault="0018665F" w:rsidP="009135D7">
            <w:r>
              <w:t>316</w:t>
            </w:r>
          </w:p>
        </w:tc>
        <w:tc>
          <w:tcPr>
            <w:tcW w:w="1288" w:type="dxa"/>
          </w:tcPr>
          <w:p w14:paraId="3C850FF5" w14:textId="77777777" w:rsidR="0018665F" w:rsidRDefault="0018665F" w:rsidP="009135D7">
            <w:r>
              <w:t>286</w:t>
            </w:r>
          </w:p>
        </w:tc>
      </w:tr>
      <w:tr w:rsidR="0018665F" w14:paraId="6231ABE2" w14:textId="77777777" w:rsidTr="009135D7">
        <w:tc>
          <w:tcPr>
            <w:tcW w:w="1287" w:type="dxa"/>
          </w:tcPr>
          <w:p w14:paraId="4967E3A6" w14:textId="77777777" w:rsidR="0018665F" w:rsidRDefault="0018665F" w:rsidP="009135D7">
            <w:r>
              <w:t>Accepted</w:t>
            </w:r>
          </w:p>
        </w:tc>
        <w:tc>
          <w:tcPr>
            <w:tcW w:w="1287" w:type="dxa"/>
          </w:tcPr>
          <w:p w14:paraId="31953484" w14:textId="77777777" w:rsidR="0018665F" w:rsidRDefault="0018665F" w:rsidP="009135D7">
            <w:r>
              <w:t>51</w:t>
            </w:r>
          </w:p>
        </w:tc>
        <w:tc>
          <w:tcPr>
            <w:tcW w:w="1287" w:type="dxa"/>
          </w:tcPr>
          <w:p w14:paraId="440C844B" w14:textId="77777777" w:rsidR="0018665F" w:rsidRDefault="0018665F" w:rsidP="009135D7">
            <w:r>
              <w:t>57</w:t>
            </w:r>
          </w:p>
        </w:tc>
        <w:tc>
          <w:tcPr>
            <w:tcW w:w="1287" w:type="dxa"/>
          </w:tcPr>
          <w:p w14:paraId="2F3C1101" w14:textId="77777777" w:rsidR="0018665F" w:rsidRDefault="0018665F" w:rsidP="009135D7">
            <w:r>
              <w:t>40</w:t>
            </w:r>
          </w:p>
        </w:tc>
        <w:tc>
          <w:tcPr>
            <w:tcW w:w="1287" w:type="dxa"/>
          </w:tcPr>
          <w:p w14:paraId="2E653273" w14:textId="77777777" w:rsidR="0018665F" w:rsidRDefault="0018665F" w:rsidP="009135D7">
            <w:r>
              <w:t>42</w:t>
            </w:r>
          </w:p>
        </w:tc>
        <w:tc>
          <w:tcPr>
            <w:tcW w:w="1287" w:type="dxa"/>
          </w:tcPr>
          <w:p w14:paraId="7B4D2C82" w14:textId="77777777" w:rsidR="0018665F" w:rsidRDefault="0018665F" w:rsidP="009135D7">
            <w:r>
              <w:t>40</w:t>
            </w:r>
          </w:p>
        </w:tc>
        <w:tc>
          <w:tcPr>
            <w:tcW w:w="1288" w:type="dxa"/>
          </w:tcPr>
          <w:p w14:paraId="5AB1630C" w14:textId="77777777" w:rsidR="0018665F" w:rsidRDefault="0018665F" w:rsidP="009135D7">
            <w:r>
              <w:t>377</w:t>
            </w:r>
          </w:p>
        </w:tc>
      </w:tr>
      <w:tr w:rsidR="0018665F" w14:paraId="0A0EA9D2" w14:textId="77777777" w:rsidTr="009135D7">
        <w:tc>
          <w:tcPr>
            <w:tcW w:w="1287" w:type="dxa"/>
          </w:tcPr>
          <w:p w14:paraId="269BE5DA" w14:textId="77777777" w:rsidR="0018665F" w:rsidRDefault="0018665F" w:rsidP="009135D7">
            <w:r>
              <w:t>Acceptance Rate (%)</w:t>
            </w:r>
          </w:p>
        </w:tc>
        <w:tc>
          <w:tcPr>
            <w:tcW w:w="1287" w:type="dxa"/>
          </w:tcPr>
          <w:p w14:paraId="45CDB37D" w14:textId="77777777" w:rsidR="0018665F" w:rsidRDefault="0018665F" w:rsidP="009135D7">
            <w:r>
              <w:t>12.8</w:t>
            </w:r>
          </w:p>
        </w:tc>
        <w:tc>
          <w:tcPr>
            <w:tcW w:w="1287" w:type="dxa"/>
          </w:tcPr>
          <w:p w14:paraId="7F6B8D56" w14:textId="77777777" w:rsidR="0018665F" w:rsidRDefault="0018665F" w:rsidP="009135D7">
            <w:r>
              <w:t>15.3</w:t>
            </w:r>
          </w:p>
        </w:tc>
        <w:tc>
          <w:tcPr>
            <w:tcW w:w="1287" w:type="dxa"/>
          </w:tcPr>
          <w:p w14:paraId="5C1A0EA8" w14:textId="77777777" w:rsidR="0018665F" w:rsidRDefault="0018665F" w:rsidP="009135D7">
            <w:r>
              <w:t>12.9</w:t>
            </w:r>
          </w:p>
        </w:tc>
        <w:tc>
          <w:tcPr>
            <w:tcW w:w="1287" w:type="dxa"/>
          </w:tcPr>
          <w:p w14:paraId="6EB12AF4" w14:textId="77777777" w:rsidR="0018665F" w:rsidRDefault="0018665F" w:rsidP="009135D7">
            <w:r>
              <w:t>13.9</w:t>
            </w:r>
          </w:p>
        </w:tc>
        <w:tc>
          <w:tcPr>
            <w:tcW w:w="1287" w:type="dxa"/>
          </w:tcPr>
          <w:p w14:paraId="1DC9D05F" w14:textId="77777777" w:rsidR="0018665F" w:rsidRDefault="0018665F" w:rsidP="009135D7">
            <w:r>
              <w:t>11.2</w:t>
            </w:r>
          </w:p>
        </w:tc>
        <w:tc>
          <w:tcPr>
            <w:tcW w:w="1288" w:type="dxa"/>
          </w:tcPr>
          <w:p w14:paraId="624B9E8E" w14:textId="77777777" w:rsidR="0018665F" w:rsidRDefault="0018665F" w:rsidP="009135D7">
            <w:r>
              <w:t>11.5</w:t>
            </w:r>
          </w:p>
        </w:tc>
      </w:tr>
    </w:tbl>
    <w:p w14:paraId="28C03D51" w14:textId="1DAC44FD" w:rsidR="0018665F" w:rsidRDefault="0018665F" w:rsidP="00AF1D37"/>
    <w:p w14:paraId="74DF5CC6" w14:textId="6A8EBABB" w:rsidR="0018665F" w:rsidRPr="0018665F" w:rsidRDefault="0018665F" w:rsidP="00AF1D37">
      <w:pPr>
        <w:rPr>
          <w:i/>
          <w:iCs/>
        </w:rPr>
      </w:pPr>
      <w:r w:rsidRPr="0018665F">
        <w:rPr>
          <w:i/>
          <w:iCs/>
        </w:rPr>
        <w:t>Table 1. Submission rates since 2010 (excluding book reviews, October to October)</w:t>
      </w:r>
    </w:p>
    <w:p w14:paraId="3F140AE4" w14:textId="637C842B" w:rsidR="001819B1" w:rsidRDefault="001819B1" w:rsidP="00AF1D37"/>
    <w:p w14:paraId="3AE7502B" w14:textId="77777777" w:rsidR="004B44E8" w:rsidRDefault="004B44E8" w:rsidP="00AF1D37"/>
    <w:p w14:paraId="381C8170" w14:textId="01FAC634" w:rsidR="00AF1D37" w:rsidRPr="00AF1D37" w:rsidRDefault="00AF1D37" w:rsidP="00AF1D37">
      <w:pPr>
        <w:rPr>
          <w:b/>
          <w:bCs/>
        </w:rPr>
      </w:pPr>
      <w:r w:rsidRPr="00AF1D37">
        <w:rPr>
          <w:b/>
          <w:bCs/>
        </w:rPr>
        <w:t>The international profile of BERJ</w:t>
      </w:r>
    </w:p>
    <w:p w14:paraId="5731B6E6" w14:textId="77777777" w:rsidR="00AF1D37" w:rsidRDefault="00AF1D37" w:rsidP="00AF1D37"/>
    <w:p w14:paraId="389E896B" w14:textId="6A764B40" w:rsidR="00AF1D37" w:rsidRDefault="00AF1D37" w:rsidP="00AF1D37">
      <w:r>
        <w:t>Since taking on the role of editors, we have worked hard to increase the international</w:t>
      </w:r>
    </w:p>
    <w:p w14:paraId="042B3D84" w14:textId="569C06F2" w:rsidR="00AF1D37" w:rsidRDefault="00AF1D37" w:rsidP="00AF1D37">
      <w:r>
        <w:t>profile of the Journal through encouraging strong submissions from international</w:t>
      </w:r>
      <w:r>
        <w:t xml:space="preserve"> </w:t>
      </w:r>
      <w:r>
        <w:t>contributors.</w:t>
      </w:r>
      <w:r>
        <w:t xml:space="preserve"> </w:t>
      </w:r>
      <w:r>
        <w:t>However, despite our efforts, we have seen a slight reduction in the</w:t>
      </w:r>
      <w:r>
        <w:t xml:space="preserve"> </w:t>
      </w:r>
      <w:r>
        <w:t>proportion</w:t>
      </w:r>
      <w:r>
        <w:t xml:space="preserve"> </w:t>
      </w:r>
      <w:r>
        <w:t>of papers from ‘overseas’. As can be seen from Table 2, submissions from</w:t>
      </w:r>
      <w:r>
        <w:t xml:space="preserve"> </w:t>
      </w:r>
      <w:r>
        <w:t>‘overseas’ account for just under half of the manuscripts we receive. Last year, the</w:t>
      </w:r>
      <w:r>
        <w:t xml:space="preserve"> </w:t>
      </w:r>
      <w:r>
        <w:t>proportion was nearly two-thirds. There is strong continuity between our ‘top-12</w:t>
      </w:r>
      <w:r>
        <w:t xml:space="preserve"> </w:t>
      </w:r>
      <w:r>
        <w:t>sending countries – with only three changes. Iran, Malaysia and Taiwan have been</w:t>
      </w:r>
      <w:r>
        <w:t xml:space="preserve"> </w:t>
      </w:r>
      <w:r>
        <w:t>replaced by China, Spain and India. As with previous years, unfortunately the acceptance</w:t>
      </w:r>
      <w:r>
        <w:t xml:space="preserve"> </w:t>
      </w:r>
      <w:r>
        <w:t>rate for papers from non-Anglophone countries is relatively low.</w:t>
      </w:r>
    </w:p>
    <w:p w14:paraId="3AC35352" w14:textId="72604FB8" w:rsidR="0018665F" w:rsidRDefault="0018665F" w:rsidP="00AF1D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352"/>
      </w:tblGrid>
      <w:tr w:rsidR="0018665F" w14:paraId="41C617FD" w14:textId="77777777" w:rsidTr="009135D7">
        <w:tc>
          <w:tcPr>
            <w:tcW w:w="4390" w:type="dxa"/>
          </w:tcPr>
          <w:p w14:paraId="585B22FF" w14:textId="77777777" w:rsidR="0018665F" w:rsidRDefault="0018665F" w:rsidP="009135D7">
            <w:r>
              <w:lastRenderedPageBreak/>
              <w:t>Country</w:t>
            </w:r>
          </w:p>
        </w:tc>
        <w:tc>
          <w:tcPr>
            <w:tcW w:w="2268" w:type="dxa"/>
          </w:tcPr>
          <w:p w14:paraId="3B5A865A" w14:textId="77777777" w:rsidR="0018665F" w:rsidRDefault="0018665F" w:rsidP="009135D7">
            <w:r>
              <w:t>Number</w:t>
            </w:r>
          </w:p>
        </w:tc>
        <w:tc>
          <w:tcPr>
            <w:tcW w:w="2352" w:type="dxa"/>
          </w:tcPr>
          <w:p w14:paraId="1AE0EBE3" w14:textId="77777777" w:rsidR="0018665F" w:rsidRDefault="0018665F" w:rsidP="009135D7">
            <w:r>
              <w:t>%</w:t>
            </w:r>
          </w:p>
        </w:tc>
      </w:tr>
      <w:tr w:rsidR="0018665F" w14:paraId="51B3C79E" w14:textId="77777777" w:rsidTr="009135D7">
        <w:tc>
          <w:tcPr>
            <w:tcW w:w="4390" w:type="dxa"/>
          </w:tcPr>
          <w:p w14:paraId="67932B69" w14:textId="77777777" w:rsidR="0018665F" w:rsidRDefault="0018665F" w:rsidP="009135D7">
            <w:r>
              <w:t>United Kingdom</w:t>
            </w:r>
          </w:p>
        </w:tc>
        <w:tc>
          <w:tcPr>
            <w:tcW w:w="2268" w:type="dxa"/>
          </w:tcPr>
          <w:p w14:paraId="13F54792" w14:textId="77777777" w:rsidR="0018665F" w:rsidRDefault="0018665F" w:rsidP="009135D7">
            <w:r>
              <w:t>169</w:t>
            </w:r>
          </w:p>
        </w:tc>
        <w:tc>
          <w:tcPr>
            <w:tcW w:w="2352" w:type="dxa"/>
          </w:tcPr>
          <w:p w14:paraId="43C75925" w14:textId="77777777" w:rsidR="0018665F" w:rsidRDefault="0018665F" w:rsidP="009135D7">
            <w:r>
              <w:t>45.6</w:t>
            </w:r>
          </w:p>
        </w:tc>
      </w:tr>
      <w:tr w:rsidR="0018665F" w14:paraId="6CDAFB07" w14:textId="77777777" w:rsidTr="009135D7">
        <w:tc>
          <w:tcPr>
            <w:tcW w:w="4390" w:type="dxa"/>
          </w:tcPr>
          <w:p w14:paraId="78FDD6CE" w14:textId="77777777" w:rsidR="0018665F" w:rsidRDefault="0018665F" w:rsidP="009135D7">
            <w:r>
              <w:t>Australia</w:t>
            </w:r>
          </w:p>
        </w:tc>
        <w:tc>
          <w:tcPr>
            <w:tcW w:w="2268" w:type="dxa"/>
          </w:tcPr>
          <w:p w14:paraId="3D2697F2" w14:textId="77777777" w:rsidR="0018665F" w:rsidRDefault="0018665F" w:rsidP="009135D7">
            <w:r>
              <w:t>23</w:t>
            </w:r>
          </w:p>
        </w:tc>
        <w:tc>
          <w:tcPr>
            <w:tcW w:w="2352" w:type="dxa"/>
          </w:tcPr>
          <w:p w14:paraId="0C9FE32D" w14:textId="77777777" w:rsidR="0018665F" w:rsidRDefault="0018665F" w:rsidP="009135D7">
            <w:r>
              <w:t>6.2</w:t>
            </w:r>
          </w:p>
        </w:tc>
      </w:tr>
      <w:tr w:rsidR="0018665F" w14:paraId="178C2085" w14:textId="77777777" w:rsidTr="009135D7">
        <w:tc>
          <w:tcPr>
            <w:tcW w:w="4390" w:type="dxa"/>
          </w:tcPr>
          <w:p w14:paraId="27DD38E6" w14:textId="77777777" w:rsidR="0018665F" w:rsidRDefault="0018665F" w:rsidP="009135D7">
            <w:r>
              <w:t>Netherlands</w:t>
            </w:r>
          </w:p>
        </w:tc>
        <w:tc>
          <w:tcPr>
            <w:tcW w:w="2268" w:type="dxa"/>
          </w:tcPr>
          <w:p w14:paraId="6CDCA50C" w14:textId="77777777" w:rsidR="0018665F" w:rsidRDefault="0018665F" w:rsidP="009135D7">
            <w:r>
              <w:t>10</w:t>
            </w:r>
          </w:p>
        </w:tc>
        <w:tc>
          <w:tcPr>
            <w:tcW w:w="2352" w:type="dxa"/>
          </w:tcPr>
          <w:p w14:paraId="67B4A0DD" w14:textId="77777777" w:rsidR="0018665F" w:rsidRDefault="0018665F" w:rsidP="009135D7">
            <w:r>
              <w:t>2.7</w:t>
            </w:r>
          </w:p>
        </w:tc>
      </w:tr>
      <w:tr w:rsidR="0018665F" w14:paraId="31C9FA06" w14:textId="77777777" w:rsidTr="009135D7">
        <w:tc>
          <w:tcPr>
            <w:tcW w:w="4390" w:type="dxa"/>
          </w:tcPr>
          <w:p w14:paraId="75C846CF" w14:textId="77777777" w:rsidR="0018665F" w:rsidRDefault="0018665F" w:rsidP="009135D7">
            <w:r>
              <w:t>Spain</w:t>
            </w:r>
          </w:p>
        </w:tc>
        <w:tc>
          <w:tcPr>
            <w:tcW w:w="2268" w:type="dxa"/>
          </w:tcPr>
          <w:p w14:paraId="1F5171C1" w14:textId="77777777" w:rsidR="0018665F" w:rsidRDefault="0018665F" w:rsidP="009135D7">
            <w:r>
              <w:t>10</w:t>
            </w:r>
          </w:p>
        </w:tc>
        <w:tc>
          <w:tcPr>
            <w:tcW w:w="2352" w:type="dxa"/>
          </w:tcPr>
          <w:p w14:paraId="1285CB03" w14:textId="77777777" w:rsidR="0018665F" w:rsidRDefault="0018665F" w:rsidP="009135D7">
            <w:r>
              <w:t>2.7</w:t>
            </w:r>
          </w:p>
        </w:tc>
      </w:tr>
      <w:tr w:rsidR="0018665F" w14:paraId="25ABBCD1" w14:textId="77777777" w:rsidTr="009135D7">
        <w:tc>
          <w:tcPr>
            <w:tcW w:w="4390" w:type="dxa"/>
          </w:tcPr>
          <w:p w14:paraId="2C897A0B" w14:textId="77777777" w:rsidR="0018665F" w:rsidRDefault="0018665F" w:rsidP="009135D7">
            <w:r>
              <w:t>United States of America</w:t>
            </w:r>
          </w:p>
        </w:tc>
        <w:tc>
          <w:tcPr>
            <w:tcW w:w="2268" w:type="dxa"/>
          </w:tcPr>
          <w:p w14:paraId="311BC4E0" w14:textId="77777777" w:rsidR="0018665F" w:rsidRDefault="0018665F" w:rsidP="009135D7">
            <w:r>
              <w:t>10</w:t>
            </w:r>
          </w:p>
        </w:tc>
        <w:tc>
          <w:tcPr>
            <w:tcW w:w="2352" w:type="dxa"/>
          </w:tcPr>
          <w:p w14:paraId="115C86CA" w14:textId="77777777" w:rsidR="0018665F" w:rsidRDefault="0018665F" w:rsidP="009135D7">
            <w:r>
              <w:t>2.7</w:t>
            </w:r>
          </w:p>
        </w:tc>
      </w:tr>
      <w:tr w:rsidR="0018665F" w14:paraId="71308B6C" w14:textId="77777777" w:rsidTr="009135D7">
        <w:tc>
          <w:tcPr>
            <w:tcW w:w="4390" w:type="dxa"/>
          </w:tcPr>
          <w:p w14:paraId="487751B3" w14:textId="77777777" w:rsidR="0018665F" w:rsidRDefault="0018665F" w:rsidP="009135D7">
            <w:r>
              <w:t>Belgium</w:t>
            </w:r>
          </w:p>
        </w:tc>
        <w:tc>
          <w:tcPr>
            <w:tcW w:w="2268" w:type="dxa"/>
          </w:tcPr>
          <w:p w14:paraId="24862D93" w14:textId="77777777" w:rsidR="0018665F" w:rsidRDefault="0018665F" w:rsidP="009135D7">
            <w:r>
              <w:t>10</w:t>
            </w:r>
          </w:p>
        </w:tc>
        <w:tc>
          <w:tcPr>
            <w:tcW w:w="2352" w:type="dxa"/>
          </w:tcPr>
          <w:p w14:paraId="4A8F294F" w14:textId="77777777" w:rsidR="0018665F" w:rsidRDefault="0018665F" w:rsidP="009135D7">
            <w:r>
              <w:t>2.7</w:t>
            </w:r>
          </w:p>
        </w:tc>
      </w:tr>
      <w:tr w:rsidR="0018665F" w14:paraId="6AE0A14E" w14:textId="77777777" w:rsidTr="009135D7">
        <w:tc>
          <w:tcPr>
            <w:tcW w:w="4390" w:type="dxa"/>
          </w:tcPr>
          <w:p w14:paraId="6E619243" w14:textId="77777777" w:rsidR="0018665F" w:rsidRDefault="0018665F" w:rsidP="009135D7">
            <w:r>
              <w:t>Israel</w:t>
            </w:r>
          </w:p>
        </w:tc>
        <w:tc>
          <w:tcPr>
            <w:tcW w:w="2268" w:type="dxa"/>
          </w:tcPr>
          <w:p w14:paraId="30350110" w14:textId="77777777" w:rsidR="0018665F" w:rsidRDefault="0018665F" w:rsidP="009135D7">
            <w:r>
              <w:t>9</w:t>
            </w:r>
          </w:p>
        </w:tc>
        <w:tc>
          <w:tcPr>
            <w:tcW w:w="2352" w:type="dxa"/>
          </w:tcPr>
          <w:p w14:paraId="7C768BDD" w14:textId="77777777" w:rsidR="0018665F" w:rsidRDefault="0018665F" w:rsidP="009135D7">
            <w:r>
              <w:t>2.4</w:t>
            </w:r>
          </w:p>
        </w:tc>
      </w:tr>
      <w:tr w:rsidR="0018665F" w14:paraId="2E1C1F04" w14:textId="77777777" w:rsidTr="009135D7">
        <w:tc>
          <w:tcPr>
            <w:tcW w:w="4390" w:type="dxa"/>
          </w:tcPr>
          <w:p w14:paraId="46992FA3" w14:textId="77777777" w:rsidR="0018665F" w:rsidRDefault="0018665F" w:rsidP="009135D7">
            <w:r>
              <w:t xml:space="preserve">Hong Kong </w:t>
            </w:r>
          </w:p>
        </w:tc>
        <w:tc>
          <w:tcPr>
            <w:tcW w:w="2268" w:type="dxa"/>
          </w:tcPr>
          <w:p w14:paraId="7DC55541" w14:textId="77777777" w:rsidR="0018665F" w:rsidRDefault="0018665F" w:rsidP="009135D7">
            <w:r>
              <w:t>8</w:t>
            </w:r>
          </w:p>
        </w:tc>
        <w:tc>
          <w:tcPr>
            <w:tcW w:w="2352" w:type="dxa"/>
          </w:tcPr>
          <w:p w14:paraId="1664A50A" w14:textId="77777777" w:rsidR="0018665F" w:rsidRDefault="0018665F" w:rsidP="009135D7">
            <w:r>
              <w:t>2.2</w:t>
            </w:r>
          </w:p>
        </w:tc>
      </w:tr>
      <w:tr w:rsidR="0018665F" w14:paraId="069BD879" w14:textId="77777777" w:rsidTr="009135D7">
        <w:tc>
          <w:tcPr>
            <w:tcW w:w="4390" w:type="dxa"/>
          </w:tcPr>
          <w:p w14:paraId="07DEA0A4" w14:textId="77777777" w:rsidR="0018665F" w:rsidRDefault="0018665F" w:rsidP="009135D7">
            <w:r>
              <w:t>India</w:t>
            </w:r>
          </w:p>
        </w:tc>
        <w:tc>
          <w:tcPr>
            <w:tcW w:w="2268" w:type="dxa"/>
          </w:tcPr>
          <w:p w14:paraId="02C5724C" w14:textId="77777777" w:rsidR="0018665F" w:rsidRDefault="0018665F" w:rsidP="009135D7">
            <w:r>
              <w:t>8</w:t>
            </w:r>
          </w:p>
        </w:tc>
        <w:tc>
          <w:tcPr>
            <w:tcW w:w="2352" w:type="dxa"/>
          </w:tcPr>
          <w:p w14:paraId="6BBE825B" w14:textId="77777777" w:rsidR="0018665F" w:rsidRDefault="0018665F" w:rsidP="009135D7">
            <w:r>
              <w:t>2.2</w:t>
            </w:r>
          </w:p>
        </w:tc>
      </w:tr>
      <w:tr w:rsidR="0018665F" w14:paraId="19C83E1C" w14:textId="77777777" w:rsidTr="009135D7">
        <w:tc>
          <w:tcPr>
            <w:tcW w:w="4390" w:type="dxa"/>
          </w:tcPr>
          <w:p w14:paraId="23CC444B" w14:textId="77777777" w:rsidR="0018665F" w:rsidRDefault="0018665F" w:rsidP="009135D7">
            <w:r>
              <w:t>Turkey</w:t>
            </w:r>
          </w:p>
        </w:tc>
        <w:tc>
          <w:tcPr>
            <w:tcW w:w="2268" w:type="dxa"/>
          </w:tcPr>
          <w:p w14:paraId="6E64BCC5" w14:textId="77777777" w:rsidR="0018665F" w:rsidRDefault="0018665F" w:rsidP="009135D7">
            <w:r>
              <w:t>8</w:t>
            </w:r>
          </w:p>
        </w:tc>
        <w:tc>
          <w:tcPr>
            <w:tcW w:w="2352" w:type="dxa"/>
          </w:tcPr>
          <w:p w14:paraId="29AAD55E" w14:textId="77777777" w:rsidR="0018665F" w:rsidRDefault="0018665F" w:rsidP="009135D7">
            <w:r>
              <w:t>2.2</w:t>
            </w:r>
          </w:p>
        </w:tc>
      </w:tr>
      <w:tr w:rsidR="0018665F" w14:paraId="15403744" w14:textId="77777777" w:rsidTr="009135D7">
        <w:tc>
          <w:tcPr>
            <w:tcW w:w="4390" w:type="dxa"/>
          </w:tcPr>
          <w:p w14:paraId="32036C2C" w14:textId="77777777" w:rsidR="0018665F" w:rsidRDefault="0018665F" w:rsidP="009135D7">
            <w:r>
              <w:t>China</w:t>
            </w:r>
          </w:p>
        </w:tc>
        <w:tc>
          <w:tcPr>
            <w:tcW w:w="2268" w:type="dxa"/>
          </w:tcPr>
          <w:p w14:paraId="4859B012" w14:textId="77777777" w:rsidR="0018665F" w:rsidRDefault="0018665F" w:rsidP="009135D7">
            <w:r>
              <w:t>7</w:t>
            </w:r>
          </w:p>
        </w:tc>
        <w:tc>
          <w:tcPr>
            <w:tcW w:w="2352" w:type="dxa"/>
          </w:tcPr>
          <w:p w14:paraId="33C48572" w14:textId="77777777" w:rsidR="0018665F" w:rsidRDefault="0018665F" w:rsidP="009135D7">
            <w:r>
              <w:t>1.9</w:t>
            </w:r>
          </w:p>
        </w:tc>
      </w:tr>
      <w:tr w:rsidR="0018665F" w14:paraId="78DDF67B" w14:textId="77777777" w:rsidTr="009135D7">
        <w:tc>
          <w:tcPr>
            <w:tcW w:w="4390" w:type="dxa"/>
          </w:tcPr>
          <w:p w14:paraId="5B94DECE" w14:textId="77777777" w:rsidR="0018665F" w:rsidRDefault="0018665F" w:rsidP="009135D7">
            <w:r>
              <w:t>Pakistan</w:t>
            </w:r>
          </w:p>
        </w:tc>
        <w:tc>
          <w:tcPr>
            <w:tcW w:w="2268" w:type="dxa"/>
          </w:tcPr>
          <w:p w14:paraId="79345A07" w14:textId="77777777" w:rsidR="0018665F" w:rsidRDefault="0018665F" w:rsidP="009135D7">
            <w:r>
              <w:t>7</w:t>
            </w:r>
          </w:p>
        </w:tc>
        <w:tc>
          <w:tcPr>
            <w:tcW w:w="2352" w:type="dxa"/>
          </w:tcPr>
          <w:p w14:paraId="686EAC89" w14:textId="77777777" w:rsidR="0018665F" w:rsidRDefault="0018665F" w:rsidP="009135D7">
            <w:r>
              <w:t>1.9</w:t>
            </w:r>
          </w:p>
        </w:tc>
      </w:tr>
    </w:tbl>
    <w:p w14:paraId="73DF4B5D" w14:textId="77777777" w:rsidR="0018665F" w:rsidRDefault="0018665F" w:rsidP="00AF1D37"/>
    <w:p w14:paraId="42D0B154" w14:textId="47095D88" w:rsidR="00AF1D37" w:rsidRDefault="0018665F" w:rsidP="00AF1D37">
      <w:pPr>
        <w:rPr>
          <w:i/>
          <w:iCs/>
        </w:rPr>
      </w:pPr>
      <w:r w:rsidRPr="0018665F">
        <w:rPr>
          <w:i/>
          <w:iCs/>
        </w:rPr>
        <w:t>Table 2. Number of manuscripts submitted by ‘top 12’ countries</w:t>
      </w:r>
    </w:p>
    <w:p w14:paraId="4D560897" w14:textId="56FB66B3" w:rsidR="0018665F" w:rsidRDefault="0018665F" w:rsidP="00AF1D37">
      <w:pPr>
        <w:rPr>
          <w:i/>
          <w:iCs/>
        </w:rPr>
      </w:pPr>
    </w:p>
    <w:p w14:paraId="059FBC25" w14:textId="77777777" w:rsidR="004B44E8" w:rsidRPr="0018665F" w:rsidRDefault="004B44E8" w:rsidP="00AF1D37">
      <w:pPr>
        <w:rPr>
          <w:i/>
          <w:iCs/>
        </w:rPr>
      </w:pPr>
    </w:p>
    <w:p w14:paraId="0067D0B1" w14:textId="58CB3645" w:rsidR="00AF1D37" w:rsidRDefault="00AF1D37" w:rsidP="00AF1D37">
      <w:r>
        <w:t>We outlined in our last report some of the ways we are trying to raise the international</w:t>
      </w:r>
      <w:r>
        <w:t xml:space="preserve"> </w:t>
      </w:r>
      <w:r>
        <w:t>profile of the Journal: we have been using more international peer-reviewers,</w:t>
      </w:r>
      <w:r>
        <w:t xml:space="preserve"> </w:t>
      </w:r>
      <w:r>
        <w:t>working hard to promote BERJ at international conferences, and the Editorial Board</w:t>
      </w:r>
      <w:r>
        <w:t xml:space="preserve"> </w:t>
      </w:r>
      <w:r>
        <w:t>has been ‘revitalising’ the International Advisory Board. In April 2016, we met with</w:t>
      </w:r>
      <w:r>
        <w:t xml:space="preserve"> </w:t>
      </w:r>
      <w:r>
        <w:t>some of the members of the International Advisory Board during the Annual Meeting</w:t>
      </w:r>
      <w:r>
        <w:t xml:space="preserve"> </w:t>
      </w:r>
      <w:r>
        <w:t>of AERA in Washington, where we had a really useful discussion about how to take</w:t>
      </w:r>
      <w:r>
        <w:t xml:space="preserve"> </w:t>
      </w:r>
      <w:r>
        <w:t>the Journal forward.</w:t>
      </w:r>
    </w:p>
    <w:p w14:paraId="715A244F" w14:textId="77777777" w:rsidR="00AF1D37" w:rsidRDefault="00AF1D37" w:rsidP="00AF1D37"/>
    <w:p w14:paraId="30489C4F" w14:textId="26CEE19E" w:rsidR="00AF1D37" w:rsidRPr="00AF1D37" w:rsidRDefault="00AF1D37" w:rsidP="00AF1D37">
      <w:pPr>
        <w:rPr>
          <w:b/>
          <w:bCs/>
        </w:rPr>
      </w:pPr>
      <w:r w:rsidRPr="00AF1D37">
        <w:rPr>
          <w:b/>
          <w:bCs/>
        </w:rPr>
        <w:t>The Editors’ Choice Prize</w:t>
      </w:r>
    </w:p>
    <w:p w14:paraId="69B224C4" w14:textId="77777777" w:rsidR="00AF1D37" w:rsidRDefault="00AF1D37" w:rsidP="00AF1D37"/>
    <w:p w14:paraId="5B99255E" w14:textId="22941865" w:rsidR="00AF1D37" w:rsidRDefault="00AF1D37" w:rsidP="00AF1D37">
      <w:r>
        <w:t>This is our third opportunity to single out one paper which we feel epitomises all that</w:t>
      </w:r>
      <w:r>
        <w:t xml:space="preserve"> </w:t>
      </w:r>
      <w:r>
        <w:t>is best in BERJ. As always, it was a difficult task as there were so many contenders,</w:t>
      </w:r>
      <w:r>
        <w:t xml:space="preserve"> </w:t>
      </w:r>
      <w:r>
        <w:t xml:space="preserve">but in the </w:t>
      </w:r>
      <w:proofErr w:type="gramStart"/>
      <w:r>
        <w:t>end</w:t>
      </w:r>
      <w:proofErr w:type="gramEnd"/>
      <w:r>
        <w:t xml:space="preserve"> we came up with the following winner and shortlist from 2015:</w:t>
      </w:r>
    </w:p>
    <w:p w14:paraId="7A9F5188" w14:textId="77777777" w:rsidR="00AF1D37" w:rsidRDefault="00AF1D37" w:rsidP="00AF1D37"/>
    <w:p w14:paraId="1D3B8016" w14:textId="4D07BD13" w:rsidR="00AF1D37" w:rsidRPr="00AF1D37" w:rsidRDefault="00AF1D37" w:rsidP="00AF1D37">
      <w:pPr>
        <w:rPr>
          <w:b/>
          <w:bCs/>
          <w:i/>
          <w:iCs/>
        </w:rPr>
      </w:pPr>
      <w:r w:rsidRPr="00AF1D37">
        <w:rPr>
          <w:b/>
          <w:bCs/>
          <w:i/>
          <w:iCs/>
        </w:rPr>
        <w:t>Editors’ Choice</w:t>
      </w:r>
    </w:p>
    <w:p w14:paraId="3CED66AE" w14:textId="77777777" w:rsidR="00AF1D37" w:rsidRPr="00AF1D37" w:rsidRDefault="00AF1D37" w:rsidP="00AF1D37">
      <w:pPr>
        <w:rPr>
          <w:i/>
          <w:iCs/>
        </w:rPr>
      </w:pPr>
    </w:p>
    <w:p w14:paraId="0EAD85EA" w14:textId="77777777" w:rsidR="00AF1D37" w:rsidRDefault="00AF1D37" w:rsidP="00AF1D37">
      <w:r>
        <w:t xml:space="preserve">John </w:t>
      </w:r>
      <w:proofErr w:type="spellStart"/>
      <w:r>
        <w:t>Jerrim</w:t>
      </w:r>
      <w:proofErr w:type="spellEnd"/>
      <w:r>
        <w:t xml:space="preserve">, Anna </w:t>
      </w:r>
      <w:proofErr w:type="spellStart"/>
      <w:r>
        <w:t>Vignoles</w:t>
      </w:r>
      <w:proofErr w:type="spellEnd"/>
      <w:r>
        <w:t>, Raghu Lingam and Angela Friend</w:t>
      </w:r>
    </w:p>
    <w:p w14:paraId="31F72525" w14:textId="77777777" w:rsidR="00AF1D37" w:rsidRDefault="00AF1D37" w:rsidP="00AF1D37">
      <w:r>
        <w:t>‘The socio-economic gradient in children’s reading skills and the role of genetics’</w:t>
      </w:r>
    </w:p>
    <w:p w14:paraId="7158CCB0" w14:textId="7A8906CF" w:rsidR="00AF1D37" w:rsidRDefault="00AF1D37" w:rsidP="00AF1D37">
      <w:r>
        <w:t>41 (1) pp. 6–29.</w:t>
      </w:r>
    </w:p>
    <w:p w14:paraId="75D73F16" w14:textId="77777777" w:rsidR="00AF1D37" w:rsidRDefault="00AF1D37" w:rsidP="00AF1D37"/>
    <w:p w14:paraId="76B16A61" w14:textId="5D9C33FD" w:rsidR="00AF1D37" w:rsidRPr="00AF1D37" w:rsidRDefault="00AF1D37" w:rsidP="00AF1D37">
      <w:pPr>
        <w:rPr>
          <w:b/>
          <w:bCs/>
          <w:i/>
          <w:iCs/>
        </w:rPr>
      </w:pPr>
      <w:r w:rsidRPr="00AF1D37">
        <w:rPr>
          <w:b/>
          <w:bCs/>
          <w:i/>
          <w:iCs/>
        </w:rPr>
        <w:t>Also shortlisted</w:t>
      </w:r>
    </w:p>
    <w:p w14:paraId="4C835AA2" w14:textId="77777777" w:rsidR="00AF1D37" w:rsidRPr="00AF1D37" w:rsidRDefault="00AF1D37" w:rsidP="00AF1D37">
      <w:pPr>
        <w:rPr>
          <w:i/>
          <w:iCs/>
        </w:rPr>
      </w:pPr>
    </w:p>
    <w:p w14:paraId="0F4B018E" w14:textId="77777777" w:rsidR="00AF1D37" w:rsidRDefault="00AF1D37" w:rsidP="00AF1D37">
      <w:r>
        <w:t>Neil Selwyn, Michael Henderson and Shu-Hua Chao</w:t>
      </w:r>
    </w:p>
    <w:p w14:paraId="4B8750DE" w14:textId="77777777" w:rsidR="00AF1D37" w:rsidRDefault="00AF1D37" w:rsidP="00AF1D37">
      <w:r>
        <w:t>‘Exploring the role of digital data in contemporary schools and</w:t>
      </w:r>
    </w:p>
    <w:p w14:paraId="21363BE7" w14:textId="77777777" w:rsidR="00AF1D37" w:rsidRDefault="00AF1D37" w:rsidP="00AF1D37">
      <w:r>
        <w:t>schooling</w:t>
      </w:r>
      <w:proofErr w:type="gramStart"/>
      <w:r>
        <w:t>—‘</w:t>
      </w:r>
      <w:proofErr w:type="gramEnd"/>
      <w:r>
        <w:t>200,000 lines in an Excel spreadsheet’’ 41 (5) pp. 767–78.</w:t>
      </w:r>
    </w:p>
    <w:p w14:paraId="2EA9AE72" w14:textId="77777777" w:rsidR="00AF1D37" w:rsidRDefault="00AF1D37" w:rsidP="00AF1D37"/>
    <w:p w14:paraId="38A4CBEF" w14:textId="6638DE01" w:rsidR="00AF1D37" w:rsidRDefault="00AF1D37" w:rsidP="00AF1D37">
      <w:r>
        <w:t>Rob Webster</w:t>
      </w:r>
    </w:p>
    <w:p w14:paraId="25306073" w14:textId="77777777" w:rsidR="00AF1D37" w:rsidRDefault="00AF1D37" w:rsidP="00AF1D37">
      <w:r>
        <w:t>‘The classroom experiences of pupils with special educational needs in</w:t>
      </w:r>
    </w:p>
    <w:p w14:paraId="4BF0E056" w14:textId="77777777" w:rsidR="00AF1D37" w:rsidRDefault="00AF1D37" w:rsidP="00AF1D37">
      <w:r>
        <w:t>mainstream primary schools—1976 to 2012. What do data from systematic</w:t>
      </w:r>
    </w:p>
    <w:p w14:paraId="72DB24CC" w14:textId="77777777" w:rsidR="00AF1D37" w:rsidRDefault="00AF1D37" w:rsidP="00AF1D37">
      <w:r>
        <w:t>observation studies reveal about pupils’ educational experiences over time?’</w:t>
      </w:r>
    </w:p>
    <w:p w14:paraId="5C1F92FB" w14:textId="3E961C56" w:rsidR="00AF1D37" w:rsidRDefault="00AF1D37" w:rsidP="00AF1D37">
      <w:r>
        <w:t>41 (6) pp. 992–1009.</w:t>
      </w:r>
    </w:p>
    <w:p w14:paraId="1FC9EFAD" w14:textId="77777777" w:rsidR="00AF1D37" w:rsidRDefault="00AF1D37" w:rsidP="00AF1D37"/>
    <w:p w14:paraId="42567E2D" w14:textId="77777777" w:rsidR="00AF1D37" w:rsidRDefault="00AF1D37" w:rsidP="00AF1D37">
      <w:r>
        <w:t>Malcolm Thorburn</w:t>
      </w:r>
    </w:p>
    <w:p w14:paraId="0B3359C5" w14:textId="77777777" w:rsidR="00AF1D37" w:rsidRDefault="00AF1D37" w:rsidP="00AF1D37">
      <w:r>
        <w:t>‘Theoretical constructs of well-being and their implications for education’</w:t>
      </w:r>
    </w:p>
    <w:p w14:paraId="4C0790BD" w14:textId="20FC90EC" w:rsidR="00AF1D37" w:rsidRDefault="00AF1D37" w:rsidP="00AF1D37">
      <w:r>
        <w:t>1 (4) pp. 650–665.</w:t>
      </w:r>
    </w:p>
    <w:p w14:paraId="76F9C8C2" w14:textId="77777777" w:rsidR="00AF1D37" w:rsidRDefault="00AF1D37" w:rsidP="00AF1D37"/>
    <w:p w14:paraId="08DD7960" w14:textId="77777777" w:rsidR="00AF1D37" w:rsidRPr="00AF1D37" w:rsidRDefault="00AF1D37" w:rsidP="00AF1D37">
      <w:pPr>
        <w:rPr>
          <w:b/>
          <w:bCs/>
        </w:rPr>
      </w:pPr>
      <w:r w:rsidRPr="00AF1D37">
        <w:rPr>
          <w:b/>
          <w:bCs/>
        </w:rPr>
        <w:t>Encouraging early career researchers</w:t>
      </w:r>
    </w:p>
    <w:p w14:paraId="3F38611E" w14:textId="77777777" w:rsidR="00AF1D37" w:rsidRDefault="00AF1D37" w:rsidP="00AF1D37"/>
    <w:p w14:paraId="454B3D7B" w14:textId="0425B7CB" w:rsidR="00AF1D37" w:rsidRDefault="00AF1D37" w:rsidP="00AF1D37">
      <w:r>
        <w:t>We are always keen to receive high quality submissions from early career researchers</w:t>
      </w:r>
      <w:r>
        <w:t xml:space="preserve"> </w:t>
      </w:r>
      <w:r>
        <w:t>and have been working with BERA to ‘de-mystify’ the process of publishing in</w:t>
      </w:r>
      <w:r>
        <w:t xml:space="preserve"> </w:t>
      </w:r>
      <w:r>
        <w:t>peer-reviewed journals. To this end, we have participated in sessions at the annual</w:t>
      </w:r>
      <w:r>
        <w:t xml:space="preserve"> </w:t>
      </w:r>
      <w:r>
        <w:t>BERA Annual Conference – sessions which have been generally well-attended. This</w:t>
      </w:r>
      <w:r>
        <w:t xml:space="preserve"> </w:t>
      </w:r>
      <w:r>
        <w:t>year we also held a BERJ ‘Surgery’ at the Annual Conference in Leeds where potential</w:t>
      </w:r>
      <w:r>
        <w:t xml:space="preserve"> </w:t>
      </w:r>
      <w:r>
        <w:t>authors were invited to come and chat to a member of the editorial team about</w:t>
      </w:r>
      <w:r>
        <w:t xml:space="preserve"> </w:t>
      </w:r>
      <w:r>
        <w:t>whether their research would be suitable for publication in the Journal and, if so, how</w:t>
      </w:r>
      <w:r>
        <w:t xml:space="preserve"> </w:t>
      </w:r>
      <w:r>
        <w:t>they should go about presenting and submitting a manuscript.</w:t>
      </w:r>
    </w:p>
    <w:p w14:paraId="04533FE6" w14:textId="77777777" w:rsidR="00AF1D37" w:rsidRPr="00AF1D37" w:rsidRDefault="00AF1D37" w:rsidP="00AF1D37">
      <w:pPr>
        <w:rPr>
          <w:b/>
          <w:bCs/>
        </w:rPr>
      </w:pPr>
    </w:p>
    <w:p w14:paraId="72826D19" w14:textId="08C70C63" w:rsidR="00AF1D37" w:rsidRDefault="00AF1D37" w:rsidP="00AF1D37">
      <w:pPr>
        <w:rPr>
          <w:b/>
          <w:bCs/>
        </w:rPr>
      </w:pPr>
      <w:r w:rsidRPr="00AF1D37">
        <w:rPr>
          <w:b/>
          <w:bCs/>
        </w:rPr>
        <w:t>Peer reviewing</w:t>
      </w:r>
    </w:p>
    <w:p w14:paraId="5732DD6C" w14:textId="77777777" w:rsidR="00AF1D37" w:rsidRPr="00AF1D37" w:rsidRDefault="00AF1D37" w:rsidP="00AF1D37">
      <w:pPr>
        <w:rPr>
          <w:b/>
          <w:bCs/>
        </w:rPr>
      </w:pPr>
    </w:p>
    <w:p w14:paraId="12488721" w14:textId="583FEFC1" w:rsidR="00AF1D37" w:rsidRDefault="00AF1D37" w:rsidP="00AF1D37">
      <w:r>
        <w:t>As last year, we would like to thank all those who have reviewed articles for us in the</w:t>
      </w:r>
      <w:r>
        <w:t xml:space="preserve"> </w:t>
      </w:r>
      <w:r>
        <w:t>past year. However, the challenges of finding high quality reviewers who are able to</w:t>
      </w:r>
      <w:r>
        <w:t xml:space="preserve"> </w:t>
      </w:r>
      <w:r>
        <w:t>deliver reviews on time continues to increase.</w:t>
      </w:r>
    </w:p>
    <w:p w14:paraId="2D0FDD4C" w14:textId="77777777" w:rsidR="00AF1D37" w:rsidRDefault="00AF1D37" w:rsidP="00AF1D37"/>
    <w:p w14:paraId="7EAD65CA" w14:textId="787B28FD" w:rsidR="00AF1D37" w:rsidRDefault="00AF1D37" w:rsidP="00AF1D37">
      <w:r>
        <w:t>We know there are many reasons why people find it difficult to review as many</w:t>
      </w:r>
      <w:r>
        <w:t xml:space="preserve"> </w:t>
      </w:r>
      <w:r>
        <w:t>papers as often as they are asked – and we are sympathetic to that. However, the main</w:t>
      </w:r>
      <w:r>
        <w:t xml:space="preserve"> </w:t>
      </w:r>
      <w:r>
        <w:t>cause of delays comes not so much from refusals, but from lack of response. Lack of</w:t>
      </w:r>
      <w:r>
        <w:t xml:space="preserve"> </w:t>
      </w:r>
      <w:r>
        <w:t>response is an issue at the original invitation stage, but also once someone has agreed</w:t>
      </w:r>
      <w:r>
        <w:t xml:space="preserve"> </w:t>
      </w:r>
      <w:r>
        <w:t>to review. Please, please can we ask colleagues to respond in a timely fashion? A ‘no’</w:t>
      </w:r>
      <w:r>
        <w:t xml:space="preserve"> </w:t>
      </w:r>
      <w:r>
        <w:t>answer is much better than no answer at all!</w:t>
      </w:r>
    </w:p>
    <w:p w14:paraId="27E06AC5" w14:textId="77777777" w:rsidR="00AF1D37" w:rsidRDefault="00AF1D37" w:rsidP="00AF1D37"/>
    <w:p w14:paraId="588CAC09" w14:textId="49F1EA6D" w:rsidR="00AF1D37" w:rsidRDefault="00AF1D37" w:rsidP="00AF1D37">
      <w:r>
        <w:t>And, as we pointed out last year, we don’t need a lengthy commentary in a review.</w:t>
      </w:r>
      <w:r>
        <w:t xml:space="preserve"> </w:t>
      </w:r>
      <w:r>
        <w:t>While we are very impressed with colleagues who provide a list of typographical errors</w:t>
      </w:r>
      <w:r>
        <w:t xml:space="preserve"> </w:t>
      </w:r>
      <w:r>
        <w:t>or misspellings to be corrected, it is not necessary for you to do this. Just let us know</w:t>
      </w:r>
      <w:r>
        <w:t xml:space="preserve"> </w:t>
      </w:r>
      <w:r>
        <w:t>that the author(s) need to do some serious copy-editing and proof-reading. We would</w:t>
      </w:r>
      <w:r>
        <w:t xml:space="preserve"> </w:t>
      </w:r>
      <w:r>
        <w:t>rather you spent your valuable time on the intellectual issues rather than production</w:t>
      </w:r>
      <w:r>
        <w:t xml:space="preserve"> </w:t>
      </w:r>
      <w:r>
        <w:t>matters.</w:t>
      </w:r>
    </w:p>
    <w:p w14:paraId="09501CC2" w14:textId="77777777" w:rsidR="00AF1D37" w:rsidRDefault="00AF1D37" w:rsidP="00AF1D37"/>
    <w:p w14:paraId="27B0B149" w14:textId="616BF8D8" w:rsidR="00AF1D37" w:rsidRDefault="00AF1D37" w:rsidP="00AF1D37">
      <w:pPr>
        <w:rPr>
          <w:b/>
          <w:bCs/>
        </w:rPr>
      </w:pPr>
      <w:r w:rsidRPr="00AF1D37">
        <w:rPr>
          <w:b/>
          <w:bCs/>
        </w:rPr>
        <w:t>Why do papers get ‘immediate reject’ decisions?</w:t>
      </w:r>
    </w:p>
    <w:p w14:paraId="0636636B" w14:textId="77777777" w:rsidR="00AF1D37" w:rsidRPr="00AF1D37" w:rsidRDefault="00AF1D37" w:rsidP="00AF1D37">
      <w:pPr>
        <w:rPr>
          <w:b/>
          <w:bCs/>
        </w:rPr>
      </w:pPr>
    </w:p>
    <w:p w14:paraId="6FBFEE41" w14:textId="00E3122E" w:rsidR="00AF1D37" w:rsidRDefault="00AF1D37" w:rsidP="00AF1D37">
      <w:r>
        <w:t>We are reiterating verbatim what we wrote last year about the grounds for ‘immediate</w:t>
      </w:r>
      <w:r>
        <w:t xml:space="preserve"> </w:t>
      </w:r>
      <w:r>
        <w:t>reject’ – which is the verdict on over 70% of all manuscripts submitted. There are a</w:t>
      </w:r>
      <w:r>
        <w:t xml:space="preserve"> </w:t>
      </w:r>
      <w:r>
        <w:t>number of reasons why we decide not to send a submission out for peer review. These</w:t>
      </w:r>
      <w:r>
        <w:t xml:space="preserve"> </w:t>
      </w:r>
      <w:r>
        <w:t>can broadly be summarised as:</w:t>
      </w:r>
    </w:p>
    <w:p w14:paraId="223D2257" w14:textId="77777777" w:rsidR="00AF1D37" w:rsidRDefault="00AF1D37" w:rsidP="00AF1D37"/>
    <w:p w14:paraId="47C1D047" w14:textId="5C01861F" w:rsidR="00AF1D37" w:rsidRPr="004B44E8" w:rsidRDefault="00AF1D37" w:rsidP="004B44E8">
      <w:pPr>
        <w:pStyle w:val="ListParagraph"/>
        <w:numPr>
          <w:ilvl w:val="0"/>
          <w:numId w:val="1"/>
        </w:numPr>
        <w:rPr>
          <w:i/>
          <w:iCs/>
        </w:rPr>
      </w:pPr>
      <w:r w:rsidRPr="00AF1D37">
        <w:rPr>
          <w:i/>
          <w:iCs/>
        </w:rPr>
        <w:t>The paper is too specialist for BERJ.</w:t>
      </w:r>
      <w:r w:rsidRPr="00AF1D37">
        <w:rPr>
          <w:i/>
          <w:iCs/>
        </w:rPr>
        <w:t xml:space="preserve"> </w:t>
      </w:r>
      <w:r>
        <w:t>As we indicated in the opening paragraph, we recognise that BERJ has a distinctive</w:t>
      </w:r>
      <w:r>
        <w:t xml:space="preserve"> </w:t>
      </w:r>
      <w:r>
        <w:t>role as a generic rather than a specialist education research journal. This means that</w:t>
      </w:r>
      <w:r w:rsidR="004B44E8">
        <w:t xml:space="preserve"> </w:t>
      </w:r>
      <w:r>
        <w:t>we want every article to be accessible to our readers – even if they have no in-depth</w:t>
      </w:r>
      <w:r w:rsidR="004B44E8">
        <w:t xml:space="preserve"> </w:t>
      </w:r>
      <w:r>
        <w:t>expertise in that particular area. This is the most common reason for an immediate</w:t>
      </w:r>
      <w:r w:rsidR="004B44E8">
        <w:t xml:space="preserve"> </w:t>
      </w:r>
      <w:r>
        <w:t xml:space="preserve">rejection, and when we write to the </w:t>
      </w:r>
      <w:r>
        <w:lastRenderedPageBreak/>
        <w:t>author(s) we usually indicate the kind of journal</w:t>
      </w:r>
      <w:r w:rsidR="004B44E8">
        <w:t xml:space="preserve"> </w:t>
      </w:r>
      <w:r>
        <w:t>where their paper might be better placed.</w:t>
      </w:r>
    </w:p>
    <w:p w14:paraId="41833352" w14:textId="77777777" w:rsidR="004B44E8" w:rsidRPr="004B44E8" w:rsidRDefault="004B44E8" w:rsidP="004B44E8">
      <w:pPr>
        <w:pStyle w:val="ListParagraph"/>
        <w:rPr>
          <w:i/>
          <w:iCs/>
        </w:rPr>
      </w:pPr>
    </w:p>
    <w:p w14:paraId="130D19CD" w14:textId="6154A562" w:rsidR="00AF1D37" w:rsidRPr="004B44E8" w:rsidRDefault="00AF1D37" w:rsidP="004B44E8">
      <w:pPr>
        <w:pStyle w:val="ListParagraph"/>
        <w:numPr>
          <w:ilvl w:val="0"/>
          <w:numId w:val="1"/>
        </w:numPr>
        <w:rPr>
          <w:i/>
          <w:iCs/>
        </w:rPr>
      </w:pPr>
      <w:r w:rsidRPr="00AF1D37">
        <w:rPr>
          <w:i/>
          <w:iCs/>
        </w:rPr>
        <w:t>The paper doesn’t make an original contribution.</w:t>
      </w:r>
      <w:r w:rsidR="004B44E8">
        <w:rPr>
          <w:i/>
          <w:iCs/>
        </w:rPr>
        <w:t xml:space="preserve"> </w:t>
      </w:r>
      <w:r>
        <w:t>Every now and then we get papers which may be very well written and where the</w:t>
      </w:r>
      <w:r w:rsidR="004B44E8">
        <w:t xml:space="preserve"> </w:t>
      </w:r>
      <w:r>
        <w:t>subject matter would appeal to a wide readership, but where the paper has nothing</w:t>
      </w:r>
      <w:r w:rsidR="004B44E8">
        <w:t xml:space="preserve"> </w:t>
      </w:r>
      <w:r>
        <w:t>new to say. It really helps us if authors signal early on, even in the abstract, how</w:t>
      </w:r>
      <w:r w:rsidR="004B44E8">
        <w:t xml:space="preserve"> </w:t>
      </w:r>
      <w:r>
        <w:t>they think their paper will take the field ‘forward’.</w:t>
      </w:r>
    </w:p>
    <w:p w14:paraId="07597D37" w14:textId="77777777" w:rsidR="004B44E8" w:rsidRPr="004B44E8" w:rsidRDefault="004B44E8" w:rsidP="004B44E8">
      <w:pPr>
        <w:rPr>
          <w:i/>
          <w:iCs/>
        </w:rPr>
      </w:pPr>
    </w:p>
    <w:p w14:paraId="07248D28" w14:textId="7451DBD3" w:rsidR="00AF1D37" w:rsidRPr="004B44E8" w:rsidRDefault="00AF1D37" w:rsidP="004B44E8">
      <w:pPr>
        <w:pStyle w:val="ListParagraph"/>
        <w:numPr>
          <w:ilvl w:val="0"/>
          <w:numId w:val="1"/>
        </w:numPr>
        <w:rPr>
          <w:i/>
          <w:iCs/>
        </w:rPr>
      </w:pPr>
      <w:r w:rsidRPr="00AF1D37">
        <w:rPr>
          <w:i/>
          <w:iCs/>
        </w:rPr>
        <w:t>The empirical base is too weak.</w:t>
      </w:r>
      <w:r w:rsidR="004B44E8">
        <w:rPr>
          <w:i/>
          <w:iCs/>
        </w:rPr>
        <w:t xml:space="preserve"> </w:t>
      </w:r>
      <w:r>
        <w:t>We also get a number of papers where the empirical basis of the paper is simply too</w:t>
      </w:r>
      <w:r w:rsidR="004B44E8">
        <w:t xml:space="preserve"> </w:t>
      </w:r>
      <w:r>
        <w:t>weak to support the arguments which are being made. We always think that BERJ</w:t>
      </w:r>
      <w:r>
        <w:t xml:space="preserve"> </w:t>
      </w:r>
      <w:r>
        <w:t>should be showcasing only the best educational research.</w:t>
      </w:r>
    </w:p>
    <w:p w14:paraId="036B1475" w14:textId="77777777" w:rsidR="004B44E8" w:rsidRPr="004B44E8" w:rsidRDefault="004B44E8" w:rsidP="004B44E8">
      <w:pPr>
        <w:rPr>
          <w:i/>
          <w:iCs/>
        </w:rPr>
      </w:pPr>
    </w:p>
    <w:p w14:paraId="33832898" w14:textId="2C584240" w:rsidR="00AF1D37" w:rsidRPr="004B44E8" w:rsidRDefault="00AF1D37" w:rsidP="004B44E8">
      <w:pPr>
        <w:pStyle w:val="ListParagraph"/>
        <w:numPr>
          <w:ilvl w:val="0"/>
          <w:numId w:val="1"/>
        </w:numPr>
        <w:rPr>
          <w:i/>
          <w:iCs/>
        </w:rPr>
      </w:pPr>
      <w:r w:rsidRPr="00AF1D37">
        <w:rPr>
          <w:i/>
          <w:iCs/>
        </w:rPr>
        <w:t>There is no attempt to connect with a UK or international readership.</w:t>
      </w:r>
      <w:r w:rsidR="004B44E8">
        <w:rPr>
          <w:i/>
          <w:iCs/>
        </w:rPr>
        <w:t xml:space="preserve"> </w:t>
      </w:r>
      <w:r>
        <w:t>This is particularly an issue with overseas contributors. We are sure that our readers</w:t>
      </w:r>
    </w:p>
    <w:p w14:paraId="70919ACC" w14:textId="1ECF00CA" w:rsidR="00AF1D37" w:rsidRDefault="00AF1D37" w:rsidP="00AF1D37">
      <w:pPr>
        <w:ind w:left="720"/>
      </w:pPr>
      <w:r>
        <w:t>are interested in developments in education around the world, but we expect</w:t>
      </w:r>
      <w:r>
        <w:t xml:space="preserve"> </w:t>
      </w:r>
      <w:r>
        <w:t>authors to outline how their paper is of relevance or interest to a largely UK-based</w:t>
      </w:r>
      <w:r>
        <w:t xml:space="preserve"> </w:t>
      </w:r>
      <w:r>
        <w:t>readership. Evaluations of single interventions in countries where there is no</w:t>
      </w:r>
      <w:r>
        <w:t xml:space="preserve"> </w:t>
      </w:r>
      <w:r>
        <w:t>attempt to contextualise the research and draw out its broader relevance tend to get</w:t>
      </w:r>
      <w:r>
        <w:t xml:space="preserve"> </w:t>
      </w:r>
      <w:r>
        <w:t>an immediate reject.</w:t>
      </w:r>
    </w:p>
    <w:p w14:paraId="065DFBC9" w14:textId="77777777" w:rsidR="004B44E8" w:rsidRDefault="004B44E8" w:rsidP="004B44E8"/>
    <w:p w14:paraId="0D7E360A" w14:textId="122BEB98" w:rsidR="00AF1D37" w:rsidRPr="004B44E8" w:rsidRDefault="00AF1D37" w:rsidP="004B44E8">
      <w:pPr>
        <w:pStyle w:val="ListParagraph"/>
        <w:numPr>
          <w:ilvl w:val="0"/>
          <w:numId w:val="1"/>
        </w:numPr>
        <w:rPr>
          <w:i/>
          <w:iCs/>
        </w:rPr>
      </w:pPr>
      <w:r w:rsidRPr="00AF1D37">
        <w:rPr>
          <w:i/>
          <w:iCs/>
        </w:rPr>
        <w:t>The paper is poorly written.</w:t>
      </w:r>
      <w:r w:rsidR="004B44E8">
        <w:rPr>
          <w:i/>
          <w:iCs/>
        </w:rPr>
        <w:t xml:space="preserve"> </w:t>
      </w:r>
      <w:r>
        <w:t>We receive a number of papers where the quality of writing is not good enough to</w:t>
      </w:r>
      <w:r w:rsidR="004B44E8">
        <w:t xml:space="preserve"> </w:t>
      </w:r>
      <w:r>
        <w:t>justify sending the paper out for review. This is most usually, but not inevitably, a</w:t>
      </w:r>
      <w:r w:rsidR="004B44E8">
        <w:t xml:space="preserve"> </w:t>
      </w:r>
      <w:r>
        <w:t>problem for those writing in non-Anglophone contexts. Although we are sympathetic</w:t>
      </w:r>
      <w:r w:rsidR="004B44E8">
        <w:t xml:space="preserve"> </w:t>
      </w:r>
      <w:r>
        <w:t>to the challenge this creates, we do not think it is appropriate to ask our</w:t>
      </w:r>
      <w:r>
        <w:t xml:space="preserve"> </w:t>
      </w:r>
      <w:r>
        <w:t>reviewers to struggle through writing which is</w:t>
      </w:r>
      <w:r w:rsidR="004B44E8">
        <w:t xml:space="preserve"> </w:t>
      </w:r>
      <w:r>
        <w:t>incomprehensible.</w:t>
      </w:r>
    </w:p>
    <w:p w14:paraId="7B11F236" w14:textId="77777777" w:rsidR="00AF1D37" w:rsidRDefault="00AF1D37" w:rsidP="00AF1D37"/>
    <w:p w14:paraId="3DEBCD5D" w14:textId="7A85FFCB" w:rsidR="00AF1D37" w:rsidRDefault="00AF1D37" w:rsidP="00AF1D37">
      <w:pPr>
        <w:rPr>
          <w:b/>
          <w:bCs/>
        </w:rPr>
      </w:pPr>
      <w:r w:rsidRPr="00AF1D37">
        <w:rPr>
          <w:b/>
          <w:bCs/>
        </w:rPr>
        <w:t>Turnaround times</w:t>
      </w:r>
    </w:p>
    <w:p w14:paraId="01B30A75" w14:textId="77777777" w:rsidR="00AF1D37" w:rsidRPr="00AF1D37" w:rsidRDefault="00AF1D37" w:rsidP="00AF1D37">
      <w:pPr>
        <w:rPr>
          <w:b/>
          <w:bCs/>
        </w:rPr>
      </w:pPr>
    </w:p>
    <w:p w14:paraId="14C032A0" w14:textId="448057FA" w:rsidR="00AF1D37" w:rsidRDefault="00AF1D37" w:rsidP="00AF1D37">
      <w:r>
        <w:t>We continue to have relatively quick turnaround times – although there is wide variation.</w:t>
      </w:r>
      <w:r>
        <w:t xml:space="preserve"> </w:t>
      </w:r>
      <w:r>
        <w:t xml:space="preserve">Some manuscripts get ‘turned </w:t>
      </w:r>
      <w:proofErr w:type="gramStart"/>
      <w:r>
        <w:t>round</w:t>
      </w:r>
      <w:proofErr w:type="gramEnd"/>
      <w:r>
        <w:t>’ very quickly, and some seem to stay in the</w:t>
      </w:r>
      <w:r>
        <w:t xml:space="preserve"> </w:t>
      </w:r>
      <w:r>
        <w:t>system much longer (usually because of problems finding responsive reviewers). As</w:t>
      </w:r>
      <w:r>
        <w:t xml:space="preserve"> </w:t>
      </w:r>
      <w:r>
        <w:t>Table 3 reveals, the average reviewer turnaround time is only just over three weeks</w:t>
      </w:r>
      <w:r>
        <w:t xml:space="preserve"> </w:t>
      </w:r>
      <w:r>
        <w:t>for the first submission, and just over two weeks for a revised manuscript. We think</w:t>
      </w:r>
      <w:r>
        <w:t xml:space="preserve"> </w:t>
      </w:r>
      <w:r>
        <w:t>this is very impressive and are grateful to those reviewers who are so prompt and diligent</w:t>
      </w:r>
      <w:r>
        <w:t xml:space="preserve"> </w:t>
      </w:r>
      <w:r>
        <w:t>in their responses.</w:t>
      </w:r>
    </w:p>
    <w:p w14:paraId="0ABBEAB0" w14:textId="662725BF" w:rsidR="004B44E8" w:rsidRDefault="004B44E8" w:rsidP="00AF1D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1"/>
      </w:tblGrid>
      <w:tr w:rsidR="004B44E8" w14:paraId="4EC7E145" w14:textId="77777777" w:rsidTr="004B44E8">
        <w:tc>
          <w:tcPr>
            <w:tcW w:w="5949" w:type="dxa"/>
          </w:tcPr>
          <w:p w14:paraId="3711D6AE" w14:textId="035CE3A5" w:rsidR="004B44E8" w:rsidRDefault="004B44E8" w:rsidP="00AF1D37">
            <w:r>
              <w:t>Average reviewer turnaround time (Original)</w:t>
            </w:r>
          </w:p>
        </w:tc>
        <w:tc>
          <w:tcPr>
            <w:tcW w:w="3061" w:type="dxa"/>
          </w:tcPr>
          <w:p w14:paraId="426599BE" w14:textId="4533621E" w:rsidR="004B44E8" w:rsidRDefault="004B44E8" w:rsidP="004B44E8">
            <w:pPr>
              <w:jc w:val="center"/>
            </w:pPr>
            <w:r>
              <w:t>22.4</w:t>
            </w:r>
          </w:p>
        </w:tc>
      </w:tr>
      <w:tr w:rsidR="004B44E8" w14:paraId="6224D912" w14:textId="77777777" w:rsidTr="004B44E8">
        <w:tc>
          <w:tcPr>
            <w:tcW w:w="5949" w:type="dxa"/>
          </w:tcPr>
          <w:p w14:paraId="6519E656" w14:textId="10FA199D" w:rsidR="004B44E8" w:rsidRDefault="004B44E8" w:rsidP="00AF1D37">
            <w:r>
              <w:t>Average reviewer turnaround time (Revision)</w:t>
            </w:r>
          </w:p>
        </w:tc>
        <w:tc>
          <w:tcPr>
            <w:tcW w:w="3061" w:type="dxa"/>
          </w:tcPr>
          <w:p w14:paraId="2DA65C04" w14:textId="3C121EEA" w:rsidR="004B44E8" w:rsidRDefault="004B44E8" w:rsidP="004B44E8">
            <w:pPr>
              <w:jc w:val="center"/>
            </w:pPr>
            <w:r>
              <w:t>15.6</w:t>
            </w:r>
          </w:p>
        </w:tc>
      </w:tr>
    </w:tbl>
    <w:p w14:paraId="06DFF8FE" w14:textId="6CC2E8D5" w:rsidR="004B44E8" w:rsidRDefault="004B44E8" w:rsidP="00AF1D37"/>
    <w:p w14:paraId="06FFF461" w14:textId="77777777" w:rsidR="004B44E8" w:rsidRPr="004B44E8" w:rsidRDefault="004B44E8" w:rsidP="004B44E8">
      <w:pPr>
        <w:rPr>
          <w:i/>
          <w:iCs/>
        </w:rPr>
      </w:pPr>
      <w:r w:rsidRPr="004B44E8">
        <w:rPr>
          <w:i/>
          <w:iCs/>
        </w:rPr>
        <w:t>Table 3. Reviewer turnaround times in days (Oct 2015–Oct 2016)</w:t>
      </w:r>
    </w:p>
    <w:p w14:paraId="49D40CE9" w14:textId="39F9E708" w:rsidR="004B44E8" w:rsidRDefault="004B44E8" w:rsidP="00AF1D37"/>
    <w:p w14:paraId="4320FC51" w14:textId="77777777" w:rsidR="004B44E8" w:rsidRDefault="004B44E8" w:rsidP="00AF1D37"/>
    <w:p w14:paraId="21BE9138" w14:textId="371D8FCF" w:rsidR="00AF1D37" w:rsidRDefault="00AF1D37" w:rsidP="00AF1D37">
      <w:r>
        <w:t>This means that we are able to make decisions in a timely manner. Table 4 provides</w:t>
      </w:r>
      <w:r>
        <w:t xml:space="preserve"> </w:t>
      </w:r>
      <w:r>
        <w:t>data on the average number of days taken for different decision categories over</w:t>
      </w:r>
      <w:r>
        <w:t xml:space="preserve"> </w:t>
      </w:r>
      <w:r>
        <w:t>the last year.</w:t>
      </w:r>
    </w:p>
    <w:p w14:paraId="454B4D8A" w14:textId="67001BC3" w:rsidR="00AF1D37" w:rsidRDefault="00AF1D37" w:rsidP="00AF1D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1"/>
      </w:tblGrid>
      <w:tr w:rsidR="004B44E8" w14:paraId="092272F1" w14:textId="77777777" w:rsidTr="009135D7">
        <w:tc>
          <w:tcPr>
            <w:tcW w:w="5949" w:type="dxa"/>
          </w:tcPr>
          <w:p w14:paraId="1A96AC92" w14:textId="1DD628BB" w:rsidR="004B44E8" w:rsidRDefault="004B44E8" w:rsidP="009135D7">
            <w:r>
              <w:lastRenderedPageBreak/>
              <w:t>Accept</w:t>
            </w:r>
          </w:p>
        </w:tc>
        <w:tc>
          <w:tcPr>
            <w:tcW w:w="3061" w:type="dxa"/>
          </w:tcPr>
          <w:p w14:paraId="21670B1F" w14:textId="66B4D2CD" w:rsidR="004B44E8" w:rsidRDefault="004B44E8" w:rsidP="009135D7">
            <w:pPr>
              <w:jc w:val="center"/>
            </w:pPr>
            <w:r>
              <w:t>2</w:t>
            </w:r>
            <w:r>
              <w:t>3.28</w:t>
            </w:r>
          </w:p>
        </w:tc>
      </w:tr>
      <w:tr w:rsidR="004B44E8" w14:paraId="326153E6" w14:textId="77777777" w:rsidTr="009135D7">
        <w:tc>
          <w:tcPr>
            <w:tcW w:w="5949" w:type="dxa"/>
          </w:tcPr>
          <w:p w14:paraId="09A03064" w14:textId="2C177A12" w:rsidR="004B44E8" w:rsidRDefault="004B44E8" w:rsidP="009135D7">
            <w:r>
              <w:t>Minor revision</w:t>
            </w:r>
          </w:p>
        </w:tc>
        <w:tc>
          <w:tcPr>
            <w:tcW w:w="3061" w:type="dxa"/>
          </w:tcPr>
          <w:p w14:paraId="616D1F94" w14:textId="380E27B1" w:rsidR="004B44E8" w:rsidRDefault="004B44E8" w:rsidP="009135D7">
            <w:pPr>
              <w:jc w:val="center"/>
            </w:pPr>
            <w:r>
              <w:t>59.53</w:t>
            </w:r>
          </w:p>
        </w:tc>
      </w:tr>
      <w:tr w:rsidR="004B44E8" w14:paraId="2F14A1C6" w14:textId="77777777" w:rsidTr="004B44E8">
        <w:tc>
          <w:tcPr>
            <w:tcW w:w="5949" w:type="dxa"/>
          </w:tcPr>
          <w:p w14:paraId="5ADC5DF1" w14:textId="072185D2" w:rsidR="004B44E8" w:rsidRDefault="004B44E8" w:rsidP="009135D7">
            <w:r>
              <w:t>Major revision</w:t>
            </w:r>
          </w:p>
        </w:tc>
        <w:tc>
          <w:tcPr>
            <w:tcW w:w="3061" w:type="dxa"/>
          </w:tcPr>
          <w:p w14:paraId="530CDA04" w14:textId="47CF9D47" w:rsidR="004B44E8" w:rsidRDefault="004B44E8" w:rsidP="009135D7">
            <w:pPr>
              <w:jc w:val="center"/>
            </w:pPr>
            <w:r>
              <w:t>79.43</w:t>
            </w:r>
          </w:p>
        </w:tc>
      </w:tr>
      <w:tr w:rsidR="004B44E8" w14:paraId="0885548A" w14:textId="77777777" w:rsidTr="004B44E8">
        <w:tc>
          <w:tcPr>
            <w:tcW w:w="5949" w:type="dxa"/>
          </w:tcPr>
          <w:p w14:paraId="458EE5FF" w14:textId="7ED4466E" w:rsidR="004B44E8" w:rsidRDefault="004B44E8" w:rsidP="009135D7">
            <w:r>
              <w:t>Reject</w:t>
            </w:r>
          </w:p>
        </w:tc>
        <w:tc>
          <w:tcPr>
            <w:tcW w:w="3061" w:type="dxa"/>
          </w:tcPr>
          <w:p w14:paraId="161A42E7" w14:textId="3D9DEE67" w:rsidR="004B44E8" w:rsidRDefault="004B44E8" w:rsidP="009135D7">
            <w:pPr>
              <w:jc w:val="center"/>
            </w:pPr>
            <w:r>
              <w:t>25.74</w:t>
            </w:r>
          </w:p>
        </w:tc>
      </w:tr>
    </w:tbl>
    <w:p w14:paraId="38FB0140" w14:textId="106BB7B0" w:rsidR="004B44E8" w:rsidRDefault="004B44E8" w:rsidP="00AF1D37"/>
    <w:p w14:paraId="0F72A0B3" w14:textId="769BCEC1" w:rsidR="004B44E8" w:rsidRDefault="004B44E8" w:rsidP="00AF1D37">
      <w:pPr>
        <w:rPr>
          <w:i/>
          <w:iCs/>
        </w:rPr>
      </w:pPr>
      <w:r w:rsidRPr="004B44E8">
        <w:rPr>
          <w:i/>
          <w:iCs/>
        </w:rPr>
        <w:t>Table 4. Average number of days to decision (Oct 2015–Oct 2016)</w:t>
      </w:r>
    </w:p>
    <w:p w14:paraId="5257B2F4" w14:textId="097929C3" w:rsidR="004B44E8" w:rsidRDefault="004B44E8" w:rsidP="00AF1D37">
      <w:pPr>
        <w:rPr>
          <w:i/>
          <w:iCs/>
        </w:rPr>
      </w:pPr>
    </w:p>
    <w:p w14:paraId="0843DFA1" w14:textId="77777777" w:rsidR="004B44E8" w:rsidRPr="004B44E8" w:rsidRDefault="004B44E8" w:rsidP="00AF1D37">
      <w:pPr>
        <w:rPr>
          <w:i/>
          <w:iCs/>
        </w:rPr>
      </w:pPr>
    </w:p>
    <w:p w14:paraId="26D5D5E8" w14:textId="0422C77A" w:rsidR="00AF1D37" w:rsidRDefault="00AF1D37" w:rsidP="00AF1D37">
      <w:r>
        <w:t>In conclusion, we are approaching the end of our third year as editors with increasing</w:t>
      </w:r>
    </w:p>
    <w:p w14:paraId="5C58976A" w14:textId="7B357F57" w:rsidR="00AF1D37" w:rsidRDefault="00AF1D37" w:rsidP="00AF1D37">
      <w:r>
        <w:t xml:space="preserve">confidence that BERJ will continue to thrive. Many </w:t>
      </w:r>
      <w:proofErr w:type="spellStart"/>
      <w:r>
        <w:t>many</w:t>
      </w:r>
      <w:proofErr w:type="spellEnd"/>
      <w:r>
        <w:t xml:space="preserve"> thanks to all those who</w:t>
      </w:r>
      <w:r>
        <w:t xml:space="preserve"> </w:t>
      </w:r>
      <w:r>
        <w:t xml:space="preserve">have played a part in its ongoing success. First and </w:t>
      </w:r>
      <w:proofErr w:type="gramStart"/>
      <w:r>
        <w:t>foremost</w:t>
      </w:r>
      <w:proofErr w:type="gramEnd"/>
      <w:r>
        <w:t xml:space="preserve"> our gratitude goes out to</w:t>
      </w:r>
      <w:r>
        <w:t xml:space="preserve"> </w:t>
      </w:r>
      <w:r>
        <w:t>the contributors who send in their papers for us. Without them were would be no</w:t>
      </w:r>
      <w:r>
        <w:t xml:space="preserve"> </w:t>
      </w:r>
      <w:r>
        <w:t>Journal! We would also like to thank our peer reviewers for being part of a community</w:t>
      </w:r>
      <w:r>
        <w:t xml:space="preserve"> </w:t>
      </w:r>
      <w:r>
        <w:t>of scholars that reciprocates time and expertise for the benefit of the field. For</w:t>
      </w:r>
      <w:r>
        <w:t xml:space="preserve"> </w:t>
      </w:r>
      <w:r>
        <w:t>the same reason, we extend our thanks to the members of the Editorial Board and</w:t>
      </w:r>
      <w:r>
        <w:t xml:space="preserve"> </w:t>
      </w:r>
      <w:r>
        <w:t>the International Advisory Board for giving their time and attention. In terms of</w:t>
      </w:r>
      <w:r>
        <w:t xml:space="preserve"> </w:t>
      </w:r>
      <w:r>
        <w:t>operational matters, we are grateful for the</w:t>
      </w:r>
      <w:r w:rsidR="004B44E8">
        <w:t xml:space="preserve"> </w:t>
      </w:r>
      <w:r>
        <w:t>ongoing support of all those at BERA –</w:t>
      </w:r>
      <w:r>
        <w:t xml:space="preserve"> </w:t>
      </w:r>
      <w:r>
        <w:t>both in its central administration, the BERJ editorial office and the Academic Publications</w:t>
      </w:r>
      <w:r>
        <w:t xml:space="preserve"> </w:t>
      </w:r>
      <w:r>
        <w:t>Committee. Our colleague, Liza James, needs to be singled out for thanks</w:t>
      </w:r>
      <w:r>
        <w:t xml:space="preserve"> </w:t>
      </w:r>
      <w:r>
        <w:t>for her role in providing us with administrative support, checking the proofs and</w:t>
      </w:r>
      <w:r>
        <w:t xml:space="preserve"> </w:t>
      </w:r>
      <w:r>
        <w:t xml:space="preserve">ensuring the manuscripts get turned </w:t>
      </w:r>
      <w:proofErr w:type="gramStart"/>
      <w:r>
        <w:t>round</w:t>
      </w:r>
      <w:proofErr w:type="gramEnd"/>
      <w:r>
        <w:t xml:space="preserve"> by us in a timely fashion. Finally, we need</w:t>
      </w:r>
      <w:r>
        <w:t xml:space="preserve"> </w:t>
      </w:r>
      <w:r>
        <w:t>to thank colleagues at Wiley who work with us to ensure the Journal is produced to</w:t>
      </w:r>
      <w:r>
        <w:t xml:space="preserve"> </w:t>
      </w:r>
      <w:r>
        <w:t>the highest standards and marketed to the widest audience.</w:t>
      </w:r>
    </w:p>
    <w:p w14:paraId="1D5B7429" w14:textId="77777777" w:rsidR="00AF1D37" w:rsidRPr="004B44E8" w:rsidRDefault="00AF1D37" w:rsidP="00AF1D37">
      <w:pPr>
        <w:rPr>
          <w:i/>
          <w:iCs/>
        </w:rPr>
      </w:pPr>
    </w:p>
    <w:p w14:paraId="4DB5A55C" w14:textId="583FA9A1" w:rsidR="00AF1D37" w:rsidRPr="004B44E8" w:rsidRDefault="00AF1D37" w:rsidP="00AF1D37">
      <w:pPr>
        <w:rPr>
          <w:i/>
          <w:iCs/>
        </w:rPr>
      </w:pPr>
      <w:r w:rsidRPr="004B44E8">
        <w:rPr>
          <w:i/>
          <w:iCs/>
        </w:rPr>
        <w:t>William Baker</w:t>
      </w:r>
    </w:p>
    <w:p w14:paraId="4C958AD2" w14:textId="77777777" w:rsidR="00AF1D37" w:rsidRPr="004B44E8" w:rsidRDefault="00AF1D37" w:rsidP="00AF1D37">
      <w:pPr>
        <w:rPr>
          <w:i/>
          <w:iCs/>
        </w:rPr>
      </w:pPr>
      <w:r w:rsidRPr="004B44E8">
        <w:rPr>
          <w:i/>
          <w:iCs/>
        </w:rPr>
        <w:t>Mark Connolly</w:t>
      </w:r>
    </w:p>
    <w:p w14:paraId="1FFB704F" w14:textId="77777777" w:rsidR="00AF1D37" w:rsidRPr="004B44E8" w:rsidRDefault="00AF1D37" w:rsidP="00AF1D37">
      <w:pPr>
        <w:rPr>
          <w:i/>
          <w:iCs/>
        </w:rPr>
      </w:pPr>
      <w:r w:rsidRPr="004B44E8">
        <w:rPr>
          <w:i/>
          <w:iCs/>
        </w:rPr>
        <w:t>Peter Hemming</w:t>
      </w:r>
    </w:p>
    <w:p w14:paraId="0C104E42" w14:textId="77777777" w:rsidR="00AF1D37" w:rsidRPr="004B44E8" w:rsidRDefault="00AF1D37" w:rsidP="00AF1D37">
      <w:pPr>
        <w:rPr>
          <w:i/>
          <w:iCs/>
        </w:rPr>
      </w:pPr>
      <w:r w:rsidRPr="004B44E8">
        <w:rPr>
          <w:i/>
          <w:iCs/>
        </w:rPr>
        <w:t>Sally Power</w:t>
      </w:r>
    </w:p>
    <w:p w14:paraId="6896FF5C" w14:textId="77777777" w:rsidR="00AF1D37" w:rsidRPr="004B44E8" w:rsidRDefault="00AF1D37" w:rsidP="00AF1D37">
      <w:pPr>
        <w:rPr>
          <w:i/>
          <w:iCs/>
        </w:rPr>
      </w:pPr>
      <w:r w:rsidRPr="004B44E8">
        <w:rPr>
          <w:i/>
          <w:iCs/>
        </w:rPr>
        <w:t>Chris Taylor</w:t>
      </w:r>
    </w:p>
    <w:p w14:paraId="049427CD" w14:textId="77777777" w:rsidR="004B44E8" w:rsidRDefault="004B44E8" w:rsidP="00AF1D37"/>
    <w:p w14:paraId="03CF4DE8" w14:textId="1E38D01A" w:rsidR="00AF1D37" w:rsidRDefault="00AF1D37" w:rsidP="00AF1D37">
      <w:r>
        <w:t>Editors</w:t>
      </w:r>
    </w:p>
    <w:p w14:paraId="6428F934" w14:textId="77777777" w:rsidR="00AF1D37" w:rsidRDefault="00AF1D37" w:rsidP="00AF1D37"/>
    <w:p w14:paraId="3053C654" w14:textId="77777777" w:rsidR="00AF1D37" w:rsidRDefault="00AF1D37" w:rsidP="00AF1D37"/>
    <w:p w14:paraId="3019776F" w14:textId="77777777" w:rsidR="00AF1D37" w:rsidRDefault="00AF1D37" w:rsidP="00AF1D37"/>
    <w:p w14:paraId="2CF3EFFC" w14:textId="77777777" w:rsidR="00AF1D37" w:rsidRDefault="00AF1D37" w:rsidP="00AF1D37"/>
    <w:p w14:paraId="6A3140FB" w14:textId="254A6F30" w:rsidR="00AF1D37" w:rsidRDefault="00AF1D37" w:rsidP="00AF1D37"/>
    <w:sectPr w:rsidR="00AF1D37" w:rsidSect="008C7F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72B32"/>
    <w:multiLevelType w:val="hybridMultilevel"/>
    <w:tmpl w:val="4832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37"/>
    <w:rsid w:val="001819B1"/>
    <w:rsid w:val="0018665F"/>
    <w:rsid w:val="004B44E8"/>
    <w:rsid w:val="008C7F50"/>
    <w:rsid w:val="00A314E7"/>
    <w:rsid w:val="00A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B50C4"/>
  <w15:chartTrackingRefBased/>
  <w15:docId w15:val="{0A7E1EC5-2C02-2249-B0D4-8C542BF9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D37"/>
    <w:pPr>
      <w:ind w:left="720"/>
      <w:contextualSpacing/>
    </w:pPr>
  </w:style>
  <w:style w:type="table" w:styleId="TableGrid">
    <w:name w:val="Table Grid"/>
    <w:basedOn w:val="TableNormal"/>
    <w:uiPriority w:val="39"/>
    <w:rsid w:val="0018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2107</Words>
  <Characters>12010</Characters>
  <Application>Microsoft Office Word</Application>
  <DocSecurity>0</DocSecurity>
  <Lines>100</Lines>
  <Paragraphs>28</Paragraphs>
  <ScaleCrop>false</ScaleCrop>
  <Company/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Hemming</dc:creator>
  <cp:keywords/>
  <dc:description/>
  <cp:lastModifiedBy>Peter Hemming</cp:lastModifiedBy>
  <cp:revision>4</cp:revision>
  <dcterms:created xsi:type="dcterms:W3CDTF">2020-05-13T16:40:00Z</dcterms:created>
  <dcterms:modified xsi:type="dcterms:W3CDTF">2020-05-13T17:30:00Z</dcterms:modified>
</cp:coreProperties>
</file>